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57" w:rsidRDefault="00215D57"/>
    <w:tbl>
      <w:tblPr>
        <w:tblW w:w="0" w:type="auto"/>
        <w:tblLayout w:type="fixed"/>
        <w:tblLook w:val="01E0" w:firstRow="1" w:lastRow="1" w:firstColumn="1" w:lastColumn="1" w:noHBand="0" w:noVBand="0"/>
      </w:tblPr>
      <w:tblGrid>
        <w:gridCol w:w="3168"/>
        <w:gridCol w:w="8280"/>
      </w:tblGrid>
      <w:tr w:rsidR="00E12539" w:rsidTr="003B782D">
        <w:trPr>
          <w:trHeight w:val="350"/>
        </w:trPr>
        <w:tc>
          <w:tcPr>
            <w:tcW w:w="3168" w:type="dxa"/>
            <w:shd w:val="clear" w:color="auto" w:fill="336699"/>
          </w:tcPr>
          <w:p w:rsidR="006E629C" w:rsidRPr="0056388C" w:rsidRDefault="0048250E" w:rsidP="0056388C">
            <w:pPr>
              <w:tabs>
                <w:tab w:val="center" w:pos="1476"/>
              </w:tabs>
              <w:rPr>
                <w:color w:val="336699"/>
              </w:rPr>
            </w:pPr>
            <w:r>
              <w:rPr>
                <w:color w:val="336699"/>
              </w:rPr>
              <w:tab/>
            </w:r>
            <w:r w:rsidR="006E629C">
              <w:rPr>
                <w:noProof/>
              </w:rPr>
              <w:drawing>
                <wp:anchor distT="0" distB="0" distL="114300" distR="114300" simplePos="0" relativeHeight="251670016" behindDoc="0" locked="0" layoutInCell="1" allowOverlap="1" wp14:anchorId="1D9FBF1D" wp14:editId="14736B6B">
                  <wp:simplePos x="0" y="0"/>
                  <wp:positionH relativeFrom="column">
                    <wp:posOffset>-135255</wp:posOffset>
                  </wp:positionH>
                  <wp:positionV relativeFrom="paragraph">
                    <wp:posOffset>182880</wp:posOffset>
                  </wp:positionV>
                  <wp:extent cx="2076450" cy="609600"/>
                  <wp:effectExtent l="0" t="0" r="0" b="0"/>
                  <wp:wrapNone/>
                  <wp:docPr id="3" name="Picture 3" descr="pettitKo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titKohn-logo"/>
                          <pic:cNvPicPr>
                            <a:picLocks noChangeAspect="1" noChangeArrowheads="1"/>
                          </pic:cNvPicPr>
                        </pic:nvPicPr>
                        <pic:blipFill>
                          <a:blip r:embed="rId8" cstate="print"/>
                          <a:srcRect/>
                          <a:stretch>
                            <a:fillRect/>
                          </a:stretch>
                        </pic:blipFill>
                        <pic:spPr bwMode="auto">
                          <a:xfrm>
                            <a:off x="0" y="0"/>
                            <a:ext cx="207645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629C" w:rsidRPr="00A9619F">
              <w:rPr>
                <w:rFonts w:ascii="Arial Narrow" w:hAnsi="Arial Narrow"/>
                <w:color w:val="F2F2F2" w:themeColor="background1" w:themeShade="F2"/>
                <w:sz w:val="21"/>
                <w:szCs w:val="21"/>
              </w:rPr>
              <w:t xml:space="preserve"> </w:t>
            </w:r>
          </w:p>
          <w:p w:rsidR="006E629C" w:rsidRPr="00481BD7" w:rsidRDefault="006E629C" w:rsidP="006E629C">
            <w:pPr>
              <w:pStyle w:val="NormalWeb"/>
              <w:spacing w:line="360" w:lineRule="auto"/>
              <w:rPr>
                <w:rFonts w:ascii="Arial Narrow" w:hAnsi="Arial Narrow"/>
                <w:color w:val="F2F2F2" w:themeColor="background1" w:themeShade="F2"/>
                <w:sz w:val="21"/>
                <w:szCs w:val="21"/>
              </w:rPr>
            </w:pPr>
            <w:r w:rsidRPr="00A9619F">
              <w:rPr>
                <w:rFonts w:ascii="Arial Narrow" w:hAnsi="Arial Narrow"/>
                <w:color w:val="F2F2F2" w:themeColor="background1" w:themeShade="F2"/>
                <w:sz w:val="21"/>
                <w:szCs w:val="21"/>
              </w:rPr>
              <w:t xml:space="preserve"> </w:t>
            </w:r>
          </w:p>
          <w:p w:rsidR="0056388C" w:rsidRDefault="006E629C" w:rsidP="006E629C">
            <w:pPr>
              <w:pStyle w:val="NormalWeb"/>
              <w:spacing w:line="360" w:lineRule="auto"/>
              <w:rPr>
                <w:rFonts w:ascii="Arial Narrow" w:hAnsi="Arial Narrow" w:cs="Arial"/>
                <w:i/>
                <w:color w:val="C0C0C0"/>
                <w:sz w:val="22"/>
                <w:szCs w:val="22"/>
              </w:rPr>
            </w:pPr>
            <w:r>
              <w:rPr>
                <w:rFonts w:ascii="Arial Narrow" w:hAnsi="Arial Narrow" w:cs="Arial"/>
                <w:i/>
                <w:color w:val="C0C0C0"/>
                <w:sz w:val="22"/>
                <w:szCs w:val="22"/>
              </w:rPr>
              <w:t xml:space="preserve">   </w:t>
            </w:r>
          </w:p>
          <w:p w:rsidR="00400CB5" w:rsidRDefault="006E629C" w:rsidP="00400CB5">
            <w:pPr>
              <w:pStyle w:val="NormalWeb"/>
              <w:spacing w:line="360" w:lineRule="auto"/>
              <w:rPr>
                <w:color w:val="F2F2F2" w:themeColor="background1" w:themeShade="F2"/>
                <w:sz w:val="21"/>
                <w:szCs w:val="21"/>
              </w:rPr>
            </w:pPr>
            <w:r>
              <w:rPr>
                <w:rFonts w:ascii="Arial Narrow" w:hAnsi="Arial Narrow" w:cs="Arial"/>
                <w:i/>
                <w:color w:val="C0C0C0"/>
                <w:sz w:val="22"/>
                <w:szCs w:val="22"/>
              </w:rPr>
              <w:t xml:space="preserve"> </w:t>
            </w:r>
            <w:r w:rsidR="00573800">
              <w:rPr>
                <w:rFonts w:ascii="Arial Narrow" w:hAnsi="Arial Narrow" w:cs="Arial"/>
                <w:i/>
                <w:color w:val="C0C0C0"/>
                <w:sz w:val="22"/>
                <w:szCs w:val="22"/>
              </w:rPr>
              <w:t>Pettit Kohn’s Professional L</w:t>
            </w:r>
            <w:r w:rsidR="00400CB5" w:rsidRPr="00427A86">
              <w:rPr>
                <w:rFonts w:ascii="Arial Narrow" w:hAnsi="Arial Narrow" w:cs="Arial"/>
                <w:i/>
                <w:color w:val="C0C0C0"/>
                <w:sz w:val="22"/>
                <w:szCs w:val="22"/>
              </w:rPr>
              <w:t xml:space="preserve">iability team has extensive experience representing attorneys, accountants, </w:t>
            </w:r>
            <w:r w:rsidR="00400CB5">
              <w:rPr>
                <w:rFonts w:ascii="Arial Narrow" w:hAnsi="Arial Narrow" w:cs="Arial"/>
                <w:i/>
                <w:color w:val="C0C0C0"/>
                <w:sz w:val="22"/>
                <w:szCs w:val="22"/>
              </w:rPr>
              <w:t>real estate brokers and agents</w:t>
            </w:r>
            <w:r w:rsidR="00400CB5" w:rsidRPr="00427A86">
              <w:rPr>
                <w:rFonts w:ascii="Arial Narrow" w:hAnsi="Arial Narrow" w:cs="Arial"/>
                <w:i/>
                <w:color w:val="C0C0C0"/>
                <w:sz w:val="22"/>
                <w:szCs w:val="22"/>
              </w:rPr>
              <w:t>, insurance brokers and agents, and other professionals against claims of professional malpractice and intentional torts. The firm has represented some of California’s preeminent attorneys and law firms. Our attorneys have experience at all levels of representation</w:t>
            </w:r>
            <w:r w:rsidR="00400CB5">
              <w:rPr>
                <w:rFonts w:ascii="Arial Narrow" w:hAnsi="Arial Narrow" w:cs="Arial"/>
                <w:i/>
                <w:color w:val="C0C0C0"/>
                <w:sz w:val="22"/>
                <w:szCs w:val="22"/>
              </w:rPr>
              <w:t xml:space="preserve"> and handle matters in Southern California and Arizona.</w:t>
            </w:r>
          </w:p>
          <w:p w:rsidR="006E629C" w:rsidRDefault="00400CB5" w:rsidP="00400CB5">
            <w:pPr>
              <w:spacing w:line="360" w:lineRule="auto"/>
              <w:rPr>
                <w:rFonts w:ascii="Arial Narrow" w:hAnsi="Arial Narrow" w:cs="Arial"/>
                <w:i/>
                <w:color w:val="C0C0C0"/>
                <w:sz w:val="22"/>
                <w:szCs w:val="22"/>
              </w:rPr>
            </w:pPr>
            <w:r>
              <w:rPr>
                <w:rFonts w:ascii="Arial Narrow" w:hAnsi="Arial Narrow" w:cs="Arial"/>
                <w:i/>
                <w:color w:val="C0C0C0"/>
                <w:sz w:val="22"/>
                <w:szCs w:val="22"/>
              </w:rPr>
              <w:t xml:space="preserve">    </w:t>
            </w:r>
            <w:r w:rsidRPr="00427A86">
              <w:rPr>
                <w:rFonts w:ascii="Arial Narrow" w:hAnsi="Arial Narrow" w:cs="Arial"/>
                <w:i/>
                <w:color w:val="C0C0C0"/>
                <w:sz w:val="22"/>
                <w:szCs w:val="22"/>
              </w:rPr>
              <w:t>The firm has successfully handled numerous trials, obtaining jury verdicts in favor of professionals throughout Southern California, and successfully handled matters bef</w:t>
            </w:r>
            <w:r w:rsidR="00573800">
              <w:rPr>
                <w:rFonts w:ascii="Arial Narrow" w:hAnsi="Arial Narrow" w:cs="Arial"/>
                <w:i/>
                <w:color w:val="C0C0C0"/>
                <w:sz w:val="22"/>
                <w:szCs w:val="22"/>
              </w:rPr>
              <w:t>ore California Courts of Appeal</w:t>
            </w:r>
            <w:r w:rsidRPr="00427A86">
              <w:rPr>
                <w:rFonts w:ascii="Arial Narrow" w:hAnsi="Arial Narrow" w:cs="Arial"/>
                <w:i/>
                <w:color w:val="C0C0C0"/>
                <w:sz w:val="22"/>
                <w:szCs w:val="22"/>
              </w:rPr>
              <w:t>. Our background, experience, and willingness to listen to our clients’ objectives ensures our clients get the representation they deserve</w:t>
            </w:r>
          </w:p>
          <w:p w:rsidR="00400CB5" w:rsidRDefault="00400CB5" w:rsidP="00400CB5">
            <w:pPr>
              <w:spacing w:line="360" w:lineRule="auto"/>
              <w:rPr>
                <w:rFonts w:ascii="Arial Narrow" w:hAnsi="Arial Narrow" w:cs="Arial"/>
                <w:i/>
                <w:color w:val="C0C0C0"/>
                <w:sz w:val="22"/>
                <w:szCs w:val="22"/>
              </w:rPr>
            </w:pPr>
          </w:p>
          <w:p w:rsidR="00400CB5" w:rsidRDefault="00400CB5" w:rsidP="00400CB5">
            <w:pPr>
              <w:spacing w:line="360" w:lineRule="auto"/>
              <w:rPr>
                <w:rFonts w:ascii="Arial Narrow" w:hAnsi="Arial Narrow" w:cs="Arial"/>
                <w:i/>
                <w:color w:val="C0C0C0"/>
                <w:sz w:val="22"/>
                <w:szCs w:val="22"/>
              </w:rPr>
            </w:pPr>
          </w:p>
          <w:p w:rsidR="00400CB5" w:rsidRDefault="00400CB5" w:rsidP="00400CB5">
            <w:pPr>
              <w:spacing w:line="360" w:lineRule="auto"/>
              <w:rPr>
                <w:rFonts w:ascii="Arial Narrow" w:hAnsi="Arial Narrow" w:cs="Arial"/>
                <w:i/>
                <w:color w:val="C0C0C0"/>
                <w:sz w:val="22"/>
                <w:szCs w:val="22"/>
              </w:rPr>
            </w:pPr>
          </w:p>
          <w:p w:rsidR="00400CB5" w:rsidRDefault="00400CB5" w:rsidP="00400CB5">
            <w:pPr>
              <w:spacing w:line="360" w:lineRule="auto"/>
              <w:rPr>
                <w:rFonts w:ascii="Arial Narrow" w:hAnsi="Arial Narrow" w:cs="Arial"/>
                <w:i/>
                <w:color w:val="C0C0C0"/>
                <w:sz w:val="22"/>
                <w:szCs w:val="22"/>
              </w:rPr>
            </w:pPr>
          </w:p>
          <w:p w:rsidR="00400CB5" w:rsidRDefault="00400CB5" w:rsidP="00400CB5">
            <w:pPr>
              <w:spacing w:line="360" w:lineRule="auto"/>
              <w:rPr>
                <w:rFonts w:ascii="Arial Narrow" w:hAnsi="Arial Narrow" w:cs="Arial"/>
                <w:i/>
                <w:color w:val="C0C0C0"/>
                <w:sz w:val="22"/>
                <w:szCs w:val="22"/>
              </w:rPr>
            </w:pPr>
          </w:p>
          <w:p w:rsidR="00400CB5" w:rsidRDefault="00400CB5" w:rsidP="00400CB5">
            <w:pPr>
              <w:spacing w:line="360" w:lineRule="auto"/>
              <w:rPr>
                <w:rFonts w:ascii="Arial Narrow" w:hAnsi="Arial Narrow" w:cs="Arial"/>
                <w:color w:val="C0C0C0"/>
                <w:sz w:val="23"/>
                <w:szCs w:val="23"/>
              </w:rPr>
            </w:pPr>
          </w:p>
          <w:p w:rsidR="006E629C" w:rsidRPr="00E77A30" w:rsidRDefault="006E629C" w:rsidP="006E629C">
            <w:pPr>
              <w:jc w:val="center"/>
              <w:rPr>
                <w:rFonts w:ascii="Arial Narrow" w:hAnsi="Arial Narrow" w:cs="Arial"/>
                <w:color w:val="C0C0C0"/>
                <w:sz w:val="20"/>
                <w:szCs w:val="20"/>
              </w:rPr>
            </w:pPr>
            <w:r>
              <w:rPr>
                <w:rFonts w:ascii="Arial Narrow" w:hAnsi="Arial Narrow" w:cs="Arial"/>
                <w:bCs/>
                <w:color w:val="C0C0C0"/>
                <w:sz w:val="20"/>
                <w:szCs w:val="20"/>
              </w:rPr>
              <w:t>San Diego | Los Angeles | Phoenix</w:t>
            </w:r>
          </w:p>
          <w:p w:rsidR="006E629C" w:rsidRPr="001500B0" w:rsidRDefault="006E629C" w:rsidP="006E629C">
            <w:pPr>
              <w:jc w:val="center"/>
              <w:rPr>
                <w:rFonts w:ascii="Arial Narrow" w:hAnsi="Arial Narrow" w:cs="Arial"/>
                <w:bCs/>
                <w:color w:val="C0C0C0"/>
                <w:sz w:val="20"/>
                <w:szCs w:val="20"/>
              </w:rPr>
            </w:pPr>
          </w:p>
          <w:p w:rsidR="006E629C" w:rsidRPr="006058A5" w:rsidRDefault="006E629C" w:rsidP="006E629C">
            <w:pPr>
              <w:jc w:val="center"/>
              <w:rPr>
                <w:rStyle w:val="Hyperlink"/>
                <w:rFonts w:ascii="Arial Narrow" w:hAnsi="Arial Narrow" w:cs="Arial"/>
                <w:bCs/>
                <w:color w:val="BFBFBF" w:themeColor="background1" w:themeShade="BF"/>
                <w:sz w:val="22"/>
                <w:szCs w:val="22"/>
              </w:rPr>
            </w:pPr>
            <w:r w:rsidRPr="006058A5">
              <w:rPr>
                <w:rFonts w:ascii="Arial Narrow" w:hAnsi="Arial Narrow" w:cs="Arial"/>
                <w:bCs/>
                <w:color w:val="BFBFBF" w:themeColor="background1" w:themeShade="BF"/>
                <w:sz w:val="22"/>
                <w:szCs w:val="22"/>
              </w:rPr>
              <w:t>www.pettitkohn.com</w:t>
            </w:r>
          </w:p>
          <w:p w:rsidR="006058A5" w:rsidRDefault="006058A5" w:rsidP="006E629C">
            <w:pPr>
              <w:jc w:val="center"/>
              <w:rPr>
                <w:rStyle w:val="Hyperlink"/>
                <w:rFonts w:ascii="Arial Narrow" w:hAnsi="Arial Narrow" w:cs="Arial"/>
                <w:bCs/>
                <w:sz w:val="22"/>
                <w:szCs w:val="22"/>
              </w:rPr>
            </w:pPr>
          </w:p>
          <w:p w:rsidR="006058A5" w:rsidRDefault="006058A5" w:rsidP="006E629C">
            <w:pPr>
              <w:jc w:val="center"/>
              <w:rPr>
                <w:rFonts w:ascii="Arial Narrow" w:hAnsi="Arial Narrow" w:cs="Arial"/>
                <w:bCs/>
                <w:color w:val="C0C0C0"/>
                <w:sz w:val="22"/>
                <w:szCs w:val="22"/>
              </w:rPr>
            </w:pPr>
          </w:p>
          <w:p w:rsidR="006E629C" w:rsidRDefault="006E629C" w:rsidP="006E629C">
            <w:pPr>
              <w:jc w:val="center"/>
              <w:rPr>
                <w:rFonts w:ascii="Arial Narrow" w:hAnsi="Arial Narrow" w:cs="Arial"/>
                <w:bCs/>
                <w:color w:val="C0C0C0"/>
                <w:sz w:val="22"/>
                <w:szCs w:val="22"/>
              </w:rPr>
            </w:pPr>
          </w:p>
          <w:p w:rsidR="006E629C" w:rsidRDefault="006E629C" w:rsidP="006E629C">
            <w:pPr>
              <w:jc w:val="center"/>
              <w:rPr>
                <w:rFonts w:ascii="Arial Narrow" w:hAnsi="Arial Narrow" w:cs="Arial"/>
                <w:bCs/>
                <w:color w:val="C0C0C0"/>
                <w:sz w:val="22"/>
                <w:szCs w:val="22"/>
              </w:rPr>
            </w:pPr>
            <w:r>
              <w:rPr>
                <w:noProof/>
              </w:rPr>
              <w:drawing>
                <wp:anchor distT="0" distB="0" distL="114300" distR="114300" simplePos="0" relativeHeight="251672064" behindDoc="0" locked="0" layoutInCell="1" allowOverlap="1" wp14:anchorId="3BDF4D81" wp14:editId="00AD2EF9">
                  <wp:simplePos x="0" y="0"/>
                  <wp:positionH relativeFrom="column">
                    <wp:posOffset>-106680</wp:posOffset>
                  </wp:positionH>
                  <wp:positionV relativeFrom="paragraph">
                    <wp:posOffset>47625</wp:posOffset>
                  </wp:positionV>
                  <wp:extent cx="2057400" cy="609600"/>
                  <wp:effectExtent l="0" t="0" r="0" b="0"/>
                  <wp:wrapNone/>
                  <wp:docPr id="8" name="Picture 8" descr="pettitKo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titKohn-logo"/>
                          <pic:cNvPicPr>
                            <a:picLocks noChangeAspect="1" noChangeArrowheads="1"/>
                          </pic:cNvPicPr>
                        </pic:nvPicPr>
                        <pic:blipFill>
                          <a:blip r:embed="rId8" cstate="print"/>
                          <a:srcRect/>
                          <a:stretch>
                            <a:fillRect/>
                          </a:stretch>
                        </pic:blipFill>
                        <pic:spPr bwMode="auto">
                          <a:xfrm>
                            <a:off x="0" y="0"/>
                            <a:ext cx="205740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629C" w:rsidRDefault="006E629C" w:rsidP="006E629C">
            <w:pPr>
              <w:jc w:val="center"/>
              <w:rPr>
                <w:rFonts w:ascii="Arial Narrow" w:hAnsi="Arial Narrow" w:cs="Arial"/>
                <w:bCs/>
                <w:color w:val="C0C0C0"/>
                <w:sz w:val="22"/>
                <w:szCs w:val="22"/>
              </w:rPr>
            </w:pPr>
          </w:p>
          <w:p w:rsidR="006E629C" w:rsidRDefault="006E629C" w:rsidP="006E629C">
            <w:pPr>
              <w:jc w:val="center"/>
              <w:rPr>
                <w:rFonts w:ascii="Arial Narrow" w:hAnsi="Arial Narrow" w:cs="Arial"/>
                <w:bCs/>
                <w:color w:val="C0C0C0"/>
                <w:sz w:val="22"/>
                <w:szCs w:val="22"/>
              </w:rPr>
            </w:pPr>
          </w:p>
          <w:p w:rsidR="006E629C" w:rsidRDefault="006E629C" w:rsidP="006E629C">
            <w:pPr>
              <w:jc w:val="center"/>
              <w:rPr>
                <w:rFonts w:ascii="Arial Narrow" w:hAnsi="Arial Narrow" w:cs="Arial"/>
                <w:bCs/>
                <w:color w:val="C0C0C0"/>
                <w:sz w:val="22"/>
                <w:szCs w:val="22"/>
              </w:rPr>
            </w:pPr>
          </w:p>
          <w:p w:rsidR="006E629C" w:rsidRDefault="006E629C" w:rsidP="006E629C">
            <w:pPr>
              <w:jc w:val="center"/>
              <w:rPr>
                <w:rFonts w:ascii="Arial Narrow" w:hAnsi="Arial Narrow" w:cs="Arial"/>
                <w:bCs/>
                <w:color w:val="C0C0C0"/>
                <w:sz w:val="22"/>
                <w:szCs w:val="22"/>
              </w:rPr>
            </w:pPr>
          </w:p>
          <w:p w:rsidR="006E629C" w:rsidRPr="001500B0" w:rsidRDefault="006E629C" w:rsidP="006E629C">
            <w:pPr>
              <w:jc w:val="center"/>
              <w:rPr>
                <w:rFonts w:ascii="Arial Narrow" w:hAnsi="Arial Narrow" w:cs="Arial"/>
                <w:bCs/>
                <w:color w:val="C0C0C0"/>
                <w:sz w:val="20"/>
                <w:szCs w:val="20"/>
              </w:rPr>
            </w:pPr>
          </w:p>
          <w:p w:rsidR="006E629C" w:rsidRDefault="006E629C" w:rsidP="006E629C">
            <w:pPr>
              <w:spacing w:after="120"/>
              <w:rPr>
                <w:rFonts w:ascii="Arial Narrow" w:hAnsi="Arial Narrow" w:cs="Arial"/>
                <w:b/>
                <w:bCs/>
                <w:color w:val="C0C0C0"/>
                <w:sz w:val="23"/>
                <w:szCs w:val="23"/>
              </w:rPr>
            </w:pPr>
          </w:p>
          <w:p w:rsidR="006E629C" w:rsidRDefault="006E629C" w:rsidP="006E629C">
            <w:pPr>
              <w:spacing w:after="120"/>
              <w:jc w:val="center"/>
              <w:rPr>
                <w:rFonts w:ascii="Arial Narrow" w:hAnsi="Arial Narrow" w:cs="Arial"/>
                <w:b/>
                <w:bCs/>
                <w:color w:val="C0C0C0"/>
                <w:sz w:val="23"/>
                <w:szCs w:val="23"/>
              </w:rPr>
            </w:pPr>
          </w:p>
          <w:p w:rsidR="006E629C" w:rsidRPr="001500B0" w:rsidRDefault="006E629C" w:rsidP="006E629C">
            <w:pPr>
              <w:spacing w:after="120"/>
              <w:jc w:val="center"/>
              <w:rPr>
                <w:rFonts w:ascii="Arial Narrow" w:hAnsi="Arial Narrow" w:cs="Arial"/>
                <w:b/>
                <w:bCs/>
                <w:color w:val="C0C0C0"/>
                <w:sz w:val="23"/>
                <w:szCs w:val="23"/>
              </w:rPr>
            </w:pPr>
            <w:r w:rsidRPr="001500B0">
              <w:rPr>
                <w:rFonts w:ascii="Arial Narrow" w:hAnsi="Arial Narrow" w:cs="Arial"/>
                <w:b/>
                <w:bCs/>
                <w:color w:val="C0C0C0"/>
                <w:sz w:val="23"/>
                <w:szCs w:val="23"/>
              </w:rPr>
              <w:t>Areas of Practice</w:t>
            </w:r>
          </w:p>
          <w:p w:rsidR="006E629C" w:rsidRPr="001500B0" w:rsidRDefault="006E629C" w:rsidP="006E629C">
            <w:pPr>
              <w:spacing w:after="120"/>
              <w:jc w:val="center"/>
              <w:rPr>
                <w:rFonts w:ascii="Arial Narrow" w:hAnsi="Arial Narrow" w:cs="Arial"/>
                <w:bCs/>
                <w:color w:val="C0C0C0"/>
                <w:sz w:val="20"/>
                <w:szCs w:val="20"/>
              </w:rPr>
            </w:pP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Appellate</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Business Litigation</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Civil &amp; Trial Litigation</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Employment &amp; Labor</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Personal Injury</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Product Liability</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Professional Liability</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Real Estate Litigation</w:t>
            </w:r>
          </w:p>
          <w:p w:rsidR="006E629C" w:rsidRPr="001500B0" w:rsidRDefault="006E629C" w:rsidP="006E629C">
            <w:pPr>
              <w:spacing w:after="120"/>
              <w:jc w:val="center"/>
              <w:rPr>
                <w:rFonts w:ascii="Arial Narrow" w:hAnsi="Arial Narrow" w:cs="Arial"/>
                <w:bCs/>
                <w:color w:val="C0C0C0"/>
                <w:sz w:val="22"/>
                <w:szCs w:val="22"/>
              </w:rPr>
            </w:pP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Restaurant &amp; Hospitality</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Retail</w:t>
            </w:r>
            <w:r w:rsidRPr="001500B0">
              <w:rPr>
                <w:rFonts w:ascii="Arial Narrow" w:hAnsi="Arial Narrow" w:cs="Arial"/>
                <w:bCs/>
                <w:color w:val="C0C0C0"/>
                <w:sz w:val="22"/>
                <w:szCs w:val="22"/>
              </w:rPr>
              <w:br/>
            </w:r>
          </w:p>
          <w:p w:rsidR="006E629C" w:rsidRPr="001500B0" w:rsidRDefault="006E629C" w:rsidP="006E629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Transactional &amp; Business Services</w:t>
            </w:r>
            <w:r w:rsidRPr="001500B0">
              <w:rPr>
                <w:rFonts w:ascii="Arial Narrow" w:hAnsi="Arial Narrow" w:cs="Arial"/>
                <w:bCs/>
                <w:color w:val="C0C0C0"/>
                <w:sz w:val="22"/>
                <w:szCs w:val="22"/>
              </w:rPr>
              <w:br/>
            </w:r>
          </w:p>
          <w:p w:rsidR="006E629C" w:rsidRDefault="006E629C" w:rsidP="006E629C">
            <w:pPr>
              <w:spacing w:after="120"/>
              <w:jc w:val="center"/>
              <w:rPr>
                <w:rFonts w:ascii="Arial Narrow" w:hAnsi="Arial Narrow" w:cs="Arial"/>
                <w:bCs/>
                <w:color w:val="C0C0C0"/>
                <w:sz w:val="20"/>
                <w:szCs w:val="20"/>
              </w:rPr>
            </w:pPr>
            <w:r w:rsidRPr="001500B0">
              <w:rPr>
                <w:rFonts w:ascii="Arial Narrow" w:hAnsi="Arial Narrow" w:cs="Arial"/>
                <w:bCs/>
                <w:color w:val="C0C0C0"/>
                <w:sz w:val="22"/>
                <w:szCs w:val="22"/>
              </w:rPr>
              <w:t>Transportation</w:t>
            </w:r>
            <w:r w:rsidRPr="001500B0">
              <w:rPr>
                <w:rFonts w:ascii="Arial Narrow" w:hAnsi="Arial Narrow" w:cs="Arial"/>
                <w:bCs/>
                <w:color w:val="C0C0C0"/>
                <w:sz w:val="20"/>
                <w:szCs w:val="20"/>
              </w:rPr>
              <w:br/>
            </w:r>
          </w:p>
          <w:p w:rsidR="006E629C" w:rsidRDefault="006E629C" w:rsidP="006E629C">
            <w:pPr>
              <w:tabs>
                <w:tab w:val="left" w:pos="908"/>
              </w:tabs>
              <w:spacing w:after="120"/>
              <w:rPr>
                <w:rFonts w:ascii="Arial Narrow" w:hAnsi="Arial Narrow" w:cs="Arial"/>
                <w:bCs/>
                <w:color w:val="C0C0C0"/>
                <w:sz w:val="20"/>
                <w:szCs w:val="20"/>
              </w:rPr>
            </w:pPr>
            <w:r>
              <w:rPr>
                <w:rFonts w:ascii="Arial Narrow" w:hAnsi="Arial Narrow" w:cs="Arial"/>
                <w:bCs/>
                <w:color w:val="C0C0C0"/>
                <w:sz w:val="20"/>
                <w:szCs w:val="20"/>
              </w:rPr>
              <w:tab/>
            </w:r>
          </w:p>
          <w:p w:rsidR="006E629C" w:rsidRDefault="006E629C" w:rsidP="006E629C">
            <w:pPr>
              <w:spacing w:after="120"/>
              <w:jc w:val="center"/>
              <w:rPr>
                <w:rFonts w:ascii="Arial Narrow" w:hAnsi="Arial Narrow" w:cs="Arial"/>
                <w:bCs/>
                <w:color w:val="C0C0C0"/>
                <w:sz w:val="20"/>
                <w:szCs w:val="20"/>
              </w:rPr>
            </w:pPr>
          </w:p>
          <w:p w:rsidR="006E629C" w:rsidRDefault="006E629C" w:rsidP="006E629C">
            <w:pPr>
              <w:spacing w:after="120"/>
              <w:jc w:val="center"/>
              <w:rPr>
                <w:rFonts w:ascii="Arial Narrow" w:hAnsi="Arial Narrow" w:cs="Arial"/>
                <w:bCs/>
                <w:color w:val="C0C0C0"/>
                <w:sz w:val="20"/>
                <w:szCs w:val="20"/>
              </w:rPr>
            </w:pPr>
          </w:p>
          <w:p w:rsidR="006E629C" w:rsidRDefault="006E629C" w:rsidP="006E629C">
            <w:pPr>
              <w:spacing w:after="120"/>
              <w:jc w:val="center"/>
              <w:rPr>
                <w:rFonts w:ascii="Arial Narrow" w:hAnsi="Arial Narrow" w:cs="Arial"/>
                <w:bCs/>
                <w:color w:val="C0C0C0"/>
                <w:sz w:val="20"/>
                <w:szCs w:val="20"/>
              </w:rPr>
            </w:pPr>
          </w:p>
          <w:p w:rsidR="006E629C" w:rsidRPr="006B74F0" w:rsidRDefault="006E629C" w:rsidP="006E629C">
            <w:pPr>
              <w:spacing w:after="120"/>
              <w:jc w:val="center"/>
              <w:rPr>
                <w:rFonts w:ascii="Arial Narrow" w:hAnsi="Arial Narrow" w:cs="Arial"/>
                <w:bCs/>
                <w:color w:val="C0C0C0"/>
                <w:sz w:val="20"/>
                <w:szCs w:val="20"/>
              </w:rPr>
            </w:pPr>
          </w:p>
          <w:p w:rsidR="006E629C" w:rsidRDefault="006E629C" w:rsidP="00514560">
            <w:pPr>
              <w:rPr>
                <w:rFonts w:ascii="Arial Narrow" w:hAnsi="Arial Narrow" w:cs="Arial"/>
                <w:bCs/>
                <w:color w:val="C0C0C0"/>
                <w:sz w:val="20"/>
                <w:szCs w:val="20"/>
              </w:rPr>
            </w:pPr>
          </w:p>
          <w:p w:rsidR="006E629C" w:rsidRDefault="006E629C" w:rsidP="006E629C">
            <w:pPr>
              <w:rPr>
                <w:rFonts w:ascii="Arial Narrow" w:hAnsi="Arial Narrow" w:cs="Arial"/>
                <w:bCs/>
                <w:color w:val="C0C0C0"/>
                <w:sz w:val="20"/>
                <w:szCs w:val="20"/>
              </w:rPr>
            </w:pPr>
          </w:p>
          <w:p w:rsidR="006E629C" w:rsidRDefault="006E629C" w:rsidP="006E629C">
            <w:pPr>
              <w:jc w:val="center"/>
              <w:rPr>
                <w:rFonts w:ascii="Arial Narrow" w:hAnsi="Arial Narrow" w:cs="Arial"/>
                <w:bCs/>
                <w:color w:val="C0C0C0"/>
                <w:sz w:val="20"/>
                <w:szCs w:val="20"/>
              </w:rPr>
            </w:pPr>
          </w:p>
          <w:p w:rsidR="006E629C" w:rsidRDefault="006E629C" w:rsidP="006E629C">
            <w:pPr>
              <w:jc w:val="center"/>
              <w:rPr>
                <w:rFonts w:ascii="Arial Narrow" w:hAnsi="Arial Narrow" w:cs="Arial"/>
                <w:bCs/>
                <w:color w:val="C0C0C0"/>
                <w:sz w:val="20"/>
                <w:szCs w:val="20"/>
              </w:rPr>
            </w:pPr>
          </w:p>
          <w:p w:rsidR="006E629C" w:rsidRDefault="006E629C" w:rsidP="006E629C">
            <w:pPr>
              <w:jc w:val="center"/>
              <w:rPr>
                <w:rFonts w:ascii="Arial Narrow" w:hAnsi="Arial Narrow" w:cs="Arial"/>
                <w:bCs/>
                <w:color w:val="C0C0C0"/>
                <w:sz w:val="20"/>
                <w:szCs w:val="20"/>
              </w:rPr>
            </w:pPr>
          </w:p>
          <w:p w:rsidR="006E629C" w:rsidRPr="001500B0" w:rsidRDefault="006E629C" w:rsidP="006E629C">
            <w:pPr>
              <w:jc w:val="center"/>
              <w:rPr>
                <w:rFonts w:ascii="Arial Narrow" w:hAnsi="Arial Narrow" w:cs="Arial"/>
                <w:bCs/>
                <w:color w:val="C0C0C0"/>
                <w:sz w:val="22"/>
                <w:szCs w:val="22"/>
              </w:rPr>
            </w:pPr>
            <w:r>
              <w:rPr>
                <w:rFonts w:ascii="Arial Narrow" w:hAnsi="Arial Narrow" w:cs="Arial"/>
                <w:bCs/>
                <w:color w:val="C0C0C0"/>
                <w:sz w:val="20"/>
                <w:szCs w:val="20"/>
              </w:rPr>
              <w:t>San Diego | Los Angeles | Phoenix</w:t>
            </w:r>
          </w:p>
          <w:p w:rsidR="006E629C" w:rsidRPr="001500B0" w:rsidRDefault="006E629C" w:rsidP="006E629C">
            <w:pPr>
              <w:jc w:val="center"/>
              <w:rPr>
                <w:rFonts w:ascii="Arial Narrow" w:hAnsi="Arial Narrow" w:cs="Arial"/>
                <w:bCs/>
                <w:color w:val="C0C0C0"/>
                <w:sz w:val="20"/>
                <w:szCs w:val="20"/>
              </w:rPr>
            </w:pPr>
          </w:p>
          <w:p w:rsidR="006E629C" w:rsidRDefault="006E629C" w:rsidP="006E629C">
            <w:pPr>
              <w:jc w:val="center"/>
              <w:rPr>
                <w:rFonts w:ascii="Arial Narrow" w:hAnsi="Arial Narrow" w:cs="Arial"/>
                <w:bCs/>
                <w:color w:val="C0C0C0"/>
                <w:sz w:val="22"/>
                <w:szCs w:val="22"/>
              </w:rPr>
            </w:pPr>
            <w:r w:rsidRPr="001500B0">
              <w:rPr>
                <w:rFonts w:ascii="Arial Narrow" w:hAnsi="Arial Narrow" w:cs="Arial"/>
                <w:bCs/>
                <w:color w:val="C0C0C0"/>
                <w:sz w:val="22"/>
                <w:szCs w:val="22"/>
              </w:rPr>
              <w:t>www.pettitkohn.com</w:t>
            </w:r>
          </w:p>
          <w:p w:rsidR="006E629C" w:rsidRDefault="006E629C" w:rsidP="006E629C">
            <w:pPr>
              <w:jc w:val="center"/>
              <w:rPr>
                <w:rFonts w:ascii="Arial Narrow" w:hAnsi="Arial Narrow" w:cs="Arial"/>
                <w:bCs/>
                <w:color w:val="C0C0C0"/>
                <w:sz w:val="22"/>
                <w:szCs w:val="22"/>
              </w:rPr>
            </w:pPr>
          </w:p>
          <w:p w:rsidR="0056388C" w:rsidRPr="0056388C" w:rsidRDefault="0056388C" w:rsidP="0056388C">
            <w:pPr>
              <w:tabs>
                <w:tab w:val="center" w:pos="1476"/>
              </w:tabs>
              <w:rPr>
                <w:color w:val="336699"/>
              </w:rPr>
            </w:pPr>
            <w:r>
              <w:rPr>
                <w:color w:val="336699"/>
              </w:rPr>
              <w:lastRenderedPageBreak/>
              <w:tab/>
            </w:r>
            <w:r>
              <w:rPr>
                <w:noProof/>
              </w:rPr>
              <w:drawing>
                <wp:anchor distT="0" distB="0" distL="114300" distR="114300" simplePos="0" relativeHeight="251675136" behindDoc="0" locked="0" layoutInCell="1" allowOverlap="1" wp14:anchorId="7D827A8F" wp14:editId="11A4B4C4">
                  <wp:simplePos x="0" y="0"/>
                  <wp:positionH relativeFrom="column">
                    <wp:posOffset>-135255</wp:posOffset>
                  </wp:positionH>
                  <wp:positionV relativeFrom="paragraph">
                    <wp:posOffset>182880</wp:posOffset>
                  </wp:positionV>
                  <wp:extent cx="2076450" cy="609600"/>
                  <wp:effectExtent l="0" t="0" r="0" b="0"/>
                  <wp:wrapNone/>
                  <wp:docPr id="10" name="Picture 10" descr="pettitKo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titKohn-logo"/>
                          <pic:cNvPicPr>
                            <a:picLocks noChangeAspect="1" noChangeArrowheads="1"/>
                          </pic:cNvPicPr>
                        </pic:nvPicPr>
                        <pic:blipFill>
                          <a:blip r:embed="rId8" cstate="print"/>
                          <a:srcRect/>
                          <a:stretch>
                            <a:fillRect/>
                          </a:stretch>
                        </pic:blipFill>
                        <pic:spPr bwMode="auto">
                          <a:xfrm>
                            <a:off x="0" y="0"/>
                            <a:ext cx="207645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619F">
              <w:rPr>
                <w:rFonts w:ascii="Arial Narrow" w:hAnsi="Arial Narrow"/>
                <w:color w:val="F2F2F2" w:themeColor="background1" w:themeShade="F2"/>
                <w:sz w:val="21"/>
                <w:szCs w:val="21"/>
              </w:rPr>
              <w:t xml:space="preserve"> </w:t>
            </w:r>
          </w:p>
          <w:p w:rsidR="0056388C" w:rsidRPr="00481BD7" w:rsidRDefault="0056388C" w:rsidP="0056388C">
            <w:pPr>
              <w:pStyle w:val="NormalWeb"/>
              <w:spacing w:line="360" w:lineRule="auto"/>
              <w:rPr>
                <w:rFonts w:ascii="Arial Narrow" w:hAnsi="Arial Narrow"/>
                <w:color w:val="F2F2F2" w:themeColor="background1" w:themeShade="F2"/>
                <w:sz w:val="21"/>
                <w:szCs w:val="21"/>
              </w:rPr>
            </w:pPr>
            <w:r w:rsidRPr="00A9619F">
              <w:rPr>
                <w:rFonts w:ascii="Arial Narrow" w:hAnsi="Arial Narrow"/>
                <w:color w:val="F2F2F2" w:themeColor="background1" w:themeShade="F2"/>
                <w:sz w:val="21"/>
                <w:szCs w:val="21"/>
              </w:rPr>
              <w:t xml:space="preserve"> </w:t>
            </w:r>
          </w:p>
          <w:p w:rsidR="00514560" w:rsidRDefault="0056388C" w:rsidP="0056388C">
            <w:pPr>
              <w:pStyle w:val="NormalWeb"/>
              <w:spacing w:line="360" w:lineRule="auto"/>
              <w:rPr>
                <w:rFonts w:ascii="Arial Narrow" w:hAnsi="Arial Narrow" w:cs="Arial"/>
                <w:i/>
                <w:color w:val="C0C0C0"/>
                <w:sz w:val="22"/>
                <w:szCs w:val="22"/>
              </w:rPr>
            </w:pPr>
            <w:r>
              <w:rPr>
                <w:rFonts w:ascii="Arial Narrow" w:hAnsi="Arial Narrow" w:cs="Arial"/>
                <w:i/>
                <w:color w:val="C0C0C0"/>
                <w:sz w:val="22"/>
                <w:szCs w:val="22"/>
              </w:rPr>
              <w:t xml:space="preserve">   </w:t>
            </w:r>
          </w:p>
          <w:p w:rsidR="0056388C" w:rsidRDefault="0056388C" w:rsidP="0056388C">
            <w:pPr>
              <w:pStyle w:val="NormalWeb"/>
              <w:spacing w:line="360" w:lineRule="auto"/>
              <w:rPr>
                <w:color w:val="F2F2F2" w:themeColor="background1" w:themeShade="F2"/>
                <w:sz w:val="21"/>
                <w:szCs w:val="21"/>
              </w:rPr>
            </w:pPr>
            <w:r>
              <w:rPr>
                <w:rFonts w:ascii="Arial Narrow" w:hAnsi="Arial Narrow" w:cs="Arial"/>
                <w:i/>
                <w:color w:val="C0C0C0"/>
                <w:sz w:val="22"/>
                <w:szCs w:val="22"/>
              </w:rPr>
              <w:t xml:space="preserve"> </w:t>
            </w:r>
            <w:r w:rsidR="00573800">
              <w:rPr>
                <w:rFonts w:ascii="Arial Narrow" w:hAnsi="Arial Narrow" w:cs="Arial"/>
                <w:i/>
                <w:color w:val="C0C0C0"/>
                <w:sz w:val="22"/>
                <w:szCs w:val="22"/>
              </w:rPr>
              <w:t>Pettit Kohn’s Professional L</w:t>
            </w:r>
            <w:r w:rsidRPr="00427A86">
              <w:rPr>
                <w:rFonts w:ascii="Arial Narrow" w:hAnsi="Arial Narrow" w:cs="Arial"/>
                <w:i/>
                <w:color w:val="C0C0C0"/>
                <w:sz w:val="22"/>
                <w:szCs w:val="22"/>
              </w:rPr>
              <w:t xml:space="preserve">iability team has extensive experience representing attorneys, accountants, </w:t>
            </w:r>
            <w:r w:rsidR="00400CB5">
              <w:rPr>
                <w:rFonts w:ascii="Arial Narrow" w:hAnsi="Arial Narrow" w:cs="Arial"/>
                <w:i/>
                <w:color w:val="C0C0C0"/>
                <w:sz w:val="22"/>
                <w:szCs w:val="22"/>
              </w:rPr>
              <w:t>real estate brokers and agents</w:t>
            </w:r>
            <w:r w:rsidRPr="00427A86">
              <w:rPr>
                <w:rFonts w:ascii="Arial Narrow" w:hAnsi="Arial Narrow" w:cs="Arial"/>
                <w:i/>
                <w:color w:val="C0C0C0"/>
                <w:sz w:val="22"/>
                <w:szCs w:val="22"/>
              </w:rPr>
              <w:t>, insurance brokers and agents, and other professionals against claims of professional malpractice and intentional torts. The firm has represented some of California’s preeminent attorneys and law firms. Our attorneys have experience at all levels of representation</w:t>
            </w:r>
            <w:r w:rsidR="00400CB5">
              <w:rPr>
                <w:rFonts w:ascii="Arial Narrow" w:hAnsi="Arial Narrow" w:cs="Arial"/>
                <w:i/>
                <w:color w:val="C0C0C0"/>
                <w:sz w:val="22"/>
                <w:szCs w:val="22"/>
              </w:rPr>
              <w:t xml:space="preserve"> and handle matters in Southern California and Arizona.</w:t>
            </w:r>
          </w:p>
          <w:p w:rsidR="0056388C" w:rsidRDefault="0056388C" w:rsidP="0056388C">
            <w:pPr>
              <w:pStyle w:val="NormalWeb"/>
              <w:spacing w:line="360" w:lineRule="auto"/>
              <w:rPr>
                <w:rFonts w:ascii="Arial Narrow" w:hAnsi="Arial Narrow" w:cs="Arial"/>
                <w:i/>
                <w:color w:val="C0C0C0"/>
                <w:sz w:val="22"/>
                <w:szCs w:val="22"/>
              </w:rPr>
            </w:pPr>
            <w:r>
              <w:rPr>
                <w:rFonts w:ascii="Arial Narrow" w:hAnsi="Arial Narrow" w:cs="Arial"/>
                <w:i/>
                <w:color w:val="C0C0C0"/>
                <w:sz w:val="22"/>
                <w:szCs w:val="22"/>
              </w:rPr>
              <w:t xml:space="preserve">    </w:t>
            </w:r>
            <w:r w:rsidRPr="00427A86">
              <w:rPr>
                <w:rFonts w:ascii="Arial Narrow" w:hAnsi="Arial Narrow" w:cs="Arial"/>
                <w:i/>
                <w:color w:val="C0C0C0"/>
                <w:sz w:val="22"/>
                <w:szCs w:val="22"/>
              </w:rPr>
              <w:t>The firm has successfully handled numerous trials, obtaining jury verdicts in favor of professionals throughout Southern California, and successfully handled matters before California Courts of Appeal. Our background, experience, and willingness to listen to our clients’ objectives ensures our clients get the representation they deserve.</w:t>
            </w:r>
          </w:p>
          <w:p w:rsidR="00514560" w:rsidRDefault="00514560" w:rsidP="0056388C">
            <w:pPr>
              <w:pStyle w:val="NormalWeb"/>
              <w:spacing w:line="360" w:lineRule="auto"/>
              <w:rPr>
                <w:color w:val="F2F2F2" w:themeColor="background1" w:themeShade="F2"/>
                <w:sz w:val="21"/>
                <w:szCs w:val="21"/>
              </w:rPr>
            </w:pPr>
          </w:p>
          <w:p w:rsidR="007E4A79" w:rsidRDefault="007E4A79" w:rsidP="0056388C">
            <w:pPr>
              <w:pStyle w:val="NormalWeb"/>
              <w:spacing w:line="360" w:lineRule="auto"/>
              <w:rPr>
                <w:color w:val="F2F2F2" w:themeColor="background1" w:themeShade="F2"/>
                <w:sz w:val="21"/>
                <w:szCs w:val="21"/>
              </w:rPr>
            </w:pPr>
          </w:p>
          <w:p w:rsidR="00514560" w:rsidRPr="00427A86" w:rsidRDefault="00514560" w:rsidP="0056388C">
            <w:pPr>
              <w:pStyle w:val="NormalWeb"/>
              <w:spacing w:line="360" w:lineRule="auto"/>
              <w:rPr>
                <w:color w:val="F2F2F2" w:themeColor="background1" w:themeShade="F2"/>
                <w:sz w:val="21"/>
                <w:szCs w:val="21"/>
              </w:rPr>
            </w:pPr>
          </w:p>
          <w:p w:rsidR="0056388C" w:rsidRDefault="0056388C" w:rsidP="0056388C">
            <w:pPr>
              <w:jc w:val="center"/>
              <w:rPr>
                <w:rFonts w:ascii="Arial Narrow" w:hAnsi="Arial Narrow" w:cs="Arial"/>
                <w:color w:val="C0C0C0"/>
                <w:sz w:val="23"/>
                <w:szCs w:val="23"/>
              </w:rPr>
            </w:pPr>
          </w:p>
          <w:p w:rsidR="0056388C" w:rsidRPr="00E77A30" w:rsidRDefault="0056388C" w:rsidP="0056388C">
            <w:pPr>
              <w:jc w:val="center"/>
              <w:rPr>
                <w:rFonts w:ascii="Arial Narrow" w:hAnsi="Arial Narrow" w:cs="Arial"/>
                <w:color w:val="C0C0C0"/>
                <w:sz w:val="20"/>
                <w:szCs w:val="20"/>
              </w:rPr>
            </w:pPr>
            <w:r>
              <w:rPr>
                <w:rFonts w:ascii="Arial Narrow" w:hAnsi="Arial Narrow" w:cs="Arial"/>
                <w:bCs/>
                <w:color w:val="C0C0C0"/>
                <w:sz w:val="20"/>
                <w:szCs w:val="20"/>
              </w:rPr>
              <w:t>San Diego | Los Angeles | Phoenix</w:t>
            </w:r>
          </w:p>
          <w:p w:rsidR="0056388C" w:rsidRPr="007E4A79" w:rsidRDefault="0056388C" w:rsidP="0056388C">
            <w:pPr>
              <w:jc w:val="center"/>
              <w:rPr>
                <w:rFonts w:ascii="Arial Narrow" w:hAnsi="Arial Narrow" w:cs="Arial"/>
                <w:bCs/>
                <w:color w:val="BFBFBF" w:themeColor="background1" w:themeShade="BF"/>
                <w:sz w:val="20"/>
                <w:szCs w:val="20"/>
              </w:rPr>
            </w:pPr>
          </w:p>
          <w:p w:rsidR="0056388C" w:rsidRPr="007E4A79" w:rsidRDefault="0056388C" w:rsidP="0056388C">
            <w:pPr>
              <w:jc w:val="center"/>
              <w:rPr>
                <w:rFonts w:ascii="Arial Narrow" w:hAnsi="Arial Narrow" w:cs="Arial"/>
                <w:bCs/>
                <w:color w:val="BFBFBF" w:themeColor="background1" w:themeShade="BF"/>
                <w:sz w:val="22"/>
                <w:szCs w:val="22"/>
              </w:rPr>
            </w:pPr>
            <w:r w:rsidRPr="007E4A79">
              <w:rPr>
                <w:rFonts w:ascii="Arial Narrow" w:hAnsi="Arial Narrow" w:cs="Arial"/>
                <w:bCs/>
                <w:color w:val="BFBFBF" w:themeColor="background1" w:themeShade="BF"/>
                <w:sz w:val="22"/>
                <w:szCs w:val="22"/>
              </w:rPr>
              <w:t>www.pettitkohn.com</w:t>
            </w:r>
          </w:p>
          <w:p w:rsidR="0048250E" w:rsidRDefault="0048250E" w:rsidP="0048250E">
            <w:pPr>
              <w:tabs>
                <w:tab w:val="center" w:pos="1476"/>
              </w:tabs>
              <w:rPr>
                <w:color w:val="336699"/>
              </w:rPr>
            </w:pPr>
          </w:p>
          <w:p w:rsidR="00175D4C" w:rsidRDefault="00175D4C" w:rsidP="00175D4C">
            <w:pPr>
              <w:jc w:val="center"/>
              <w:rPr>
                <w:rFonts w:ascii="Arial Narrow" w:hAnsi="Arial Narrow" w:cs="Arial"/>
                <w:bCs/>
                <w:color w:val="C0C0C0"/>
                <w:sz w:val="22"/>
                <w:szCs w:val="22"/>
              </w:rPr>
            </w:pPr>
          </w:p>
          <w:p w:rsidR="00175D4C" w:rsidRDefault="00175D4C" w:rsidP="00175D4C">
            <w:pPr>
              <w:jc w:val="center"/>
              <w:rPr>
                <w:rFonts w:ascii="Arial Narrow" w:hAnsi="Arial Narrow" w:cs="Arial"/>
                <w:bCs/>
                <w:color w:val="C0C0C0"/>
                <w:sz w:val="22"/>
                <w:szCs w:val="22"/>
              </w:rPr>
            </w:pPr>
          </w:p>
          <w:p w:rsidR="00175D4C" w:rsidRDefault="00175D4C" w:rsidP="00175D4C">
            <w:pPr>
              <w:jc w:val="center"/>
              <w:rPr>
                <w:rFonts w:ascii="Arial Narrow" w:hAnsi="Arial Narrow" w:cs="Arial"/>
                <w:bCs/>
                <w:color w:val="C0C0C0"/>
                <w:sz w:val="22"/>
                <w:szCs w:val="22"/>
              </w:rPr>
            </w:pPr>
            <w:r>
              <w:rPr>
                <w:noProof/>
              </w:rPr>
              <w:drawing>
                <wp:anchor distT="0" distB="0" distL="114300" distR="114300" simplePos="0" relativeHeight="251684352" behindDoc="0" locked="0" layoutInCell="1" allowOverlap="1" wp14:anchorId="5A769E7F" wp14:editId="13AB5C22">
                  <wp:simplePos x="0" y="0"/>
                  <wp:positionH relativeFrom="column">
                    <wp:posOffset>-106680</wp:posOffset>
                  </wp:positionH>
                  <wp:positionV relativeFrom="paragraph">
                    <wp:posOffset>47625</wp:posOffset>
                  </wp:positionV>
                  <wp:extent cx="2057400" cy="609600"/>
                  <wp:effectExtent l="0" t="0" r="0" b="0"/>
                  <wp:wrapNone/>
                  <wp:docPr id="4" name="Picture 4" descr="pettitKo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titKohn-logo"/>
                          <pic:cNvPicPr>
                            <a:picLocks noChangeAspect="1" noChangeArrowheads="1"/>
                          </pic:cNvPicPr>
                        </pic:nvPicPr>
                        <pic:blipFill>
                          <a:blip r:embed="rId8" cstate="print"/>
                          <a:srcRect/>
                          <a:stretch>
                            <a:fillRect/>
                          </a:stretch>
                        </pic:blipFill>
                        <pic:spPr bwMode="auto">
                          <a:xfrm>
                            <a:off x="0" y="0"/>
                            <a:ext cx="205740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5D4C" w:rsidRDefault="00175D4C" w:rsidP="00175D4C">
            <w:pPr>
              <w:jc w:val="center"/>
              <w:rPr>
                <w:rFonts w:ascii="Arial Narrow" w:hAnsi="Arial Narrow" w:cs="Arial"/>
                <w:bCs/>
                <w:color w:val="C0C0C0"/>
                <w:sz w:val="22"/>
                <w:szCs w:val="22"/>
              </w:rPr>
            </w:pPr>
          </w:p>
          <w:p w:rsidR="00175D4C" w:rsidRDefault="00175D4C" w:rsidP="00175D4C">
            <w:pPr>
              <w:jc w:val="center"/>
              <w:rPr>
                <w:rFonts w:ascii="Arial Narrow" w:hAnsi="Arial Narrow" w:cs="Arial"/>
                <w:bCs/>
                <w:color w:val="C0C0C0"/>
                <w:sz w:val="22"/>
                <w:szCs w:val="22"/>
              </w:rPr>
            </w:pPr>
          </w:p>
          <w:p w:rsidR="00175D4C" w:rsidRDefault="00175D4C" w:rsidP="00175D4C">
            <w:pPr>
              <w:jc w:val="center"/>
              <w:rPr>
                <w:rFonts w:ascii="Arial Narrow" w:hAnsi="Arial Narrow" w:cs="Arial"/>
                <w:bCs/>
                <w:color w:val="C0C0C0"/>
                <w:sz w:val="22"/>
                <w:szCs w:val="22"/>
              </w:rPr>
            </w:pPr>
          </w:p>
          <w:p w:rsidR="00175D4C" w:rsidRDefault="00175D4C" w:rsidP="00175D4C">
            <w:pPr>
              <w:jc w:val="center"/>
              <w:rPr>
                <w:rFonts w:ascii="Arial Narrow" w:hAnsi="Arial Narrow" w:cs="Arial"/>
                <w:bCs/>
                <w:color w:val="C0C0C0"/>
                <w:sz w:val="22"/>
                <w:szCs w:val="22"/>
              </w:rPr>
            </w:pPr>
          </w:p>
          <w:p w:rsidR="00175D4C" w:rsidRPr="001500B0" w:rsidRDefault="00175D4C" w:rsidP="00175D4C">
            <w:pPr>
              <w:jc w:val="center"/>
              <w:rPr>
                <w:rFonts w:ascii="Arial Narrow" w:hAnsi="Arial Narrow" w:cs="Arial"/>
                <w:bCs/>
                <w:color w:val="C0C0C0"/>
                <w:sz w:val="20"/>
                <w:szCs w:val="20"/>
              </w:rPr>
            </w:pPr>
          </w:p>
          <w:p w:rsidR="00175D4C" w:rsidRDefault="00175D4C" w:rsidP="00175D4C">
            <w:pPr>
              <w:spacing w:after="120"/>
              <w:rPr>
                <w:rFonts w:ascii="Arial Narrow" w:hAnsi="Arial Narrow" w:cs="Arial"/>
                <w:b/>
                <w:bCs/>
                <w:color w:val="C0C0C0"/>
                <w:sz w:val="23"/>
                <w:szCs w:val="23"/>
              </w:rPr>
            </w:pPr>
          </w:p>
          <w:p w:rsidR="00175D4C" w:rsidRDefault="00175D4C" w:rsidP="00175D4C">
            <w:pPr>
              <w:spacing w:after="120"/>
              <w:jc w:val="center"/>
              <w:rPr>
                <w:rFonts w:ascii="Arial Narrow" w:hAnsi="Arial Narrow" w:cs="Arial"/>
                <w:b/>
                <w:bCs/>
                <w:color w:val="C0C0C0"/>
                <w:sz w:val="23"/>
                <w:szCs w:val="23"/>
              </w:rPr>
            </w:pPr>
          </w:p>
          <w:p w:rsidR="00175D4C" w:rsidRPr="001500B0" w:rsidRDefault="00175D4C" w:rsidP="00175D4C">
            <w:pPr>
              <w:spacing w:after="120"/>
              <w:jc w:val="center"/>
              <w:rPr>
                <w:rFonts w:ascii="Arial Narrow" w:hAnsi="Arial Narrow" w:cs="Arial"/>
                <w:b/>
                <w:bCs/>
                <w:color w:val="C0C0C0"/>
                <w:sz w:val="23"/>
                <w:szCs w:val="23"/>
              </w:rPr>
            </w:pPr>
            <w:r w:rsidRPr="001500B0">
              <w:rPr>
                <w:rFonts w:ascii="Arial Narrow" w:hAnsi="Arial Narrow" w:cs="Arial"/>
                <w:b/>
                <w:bCs/>
                <w:color w:val="C0C0C0"/>
                <w:sz w:val="23"/>
                <w:szCs w:val="23"/>
              </w:rPr>
              <w:t>Areas of Practice</w:t>
            </w:r>
          </w:p>
          <w:p w:rsidR="00175D4C" w:rsidRPr="001500B0" w:rsidRDefault="00175D4C" w:rsidP="00175D4C">
            <w:pPr>
              <w:spacing w:after="120"/>
              <w:jc w:val="center"/>
              <w:rPr>
                <w:rFonts w:ascii="Arial Narrow" w:hAnsi="Arial Narrow" w:cs="Arial"/>
                <w:bCs/>
                <w:color w:val="C0C0C0"/>
                <w:sz w:val="20"/>
                <w:szCs w:val="20"/>
              </w:rPr>
            </w:pP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Appellate</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Business Litigation</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Civil &amp; Trial Litigation</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Employment &amp; Labor</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Personal Injury</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Product Liability</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Professional Liability</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Real Estate Litigation</w:t>
            </w:r>
          </w:p>
          <w:p w:rsidR="00175D4C" w:rsidRPr="001500B0" w:rsidRDefault="00175D4C" w:rsidP="00175D4C">
            <w:pPr>
              <w:spacing w:after="120"/>
              <w:jc w:val="center"/>
              <w:rPr>
                <w:rFonts w:ascii="Arial Narrow" w:hAnsi="Arial Narrow" w:cs="Arial"/>
                <w:bCs/>
                <w:color w:val="C0C0C0"/>
                <w:sz w:val="22"/>
                <w:szCs w:val="22"/>
              </w:rPr>
            </w:pP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Restaurant &amp; Hospitality</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Retail</w:t>
            </w:r>
            <w:r w:rsidRPr="001500B0">
              <w:rPr>
                <w:rFonts w:ascii="Arial Narrow" w:hAnsi="Arial Narrow" w:cs="Arial"/>
                <w:bCs/>
                <w:color w:val="C0C0C0"/>
                <w:sz w:val="22"/>
                <w:szCs w:val="22"/>
              </w:rPr>
              <w:br/>
            </w:r>
          </w:p>
          <w:p w:rsidR="00175D4C" w:rsidRPr="001500B0" w:rsidRDefault="00175D4C" w:rsidP="00175D4C">
            <w:pPr>
              <w:spacing w:after="120"/>
              <w:jc w:val="center"/>
              <w:rPr>
                <w:rFonts w:ascii="Arial Narrow" w:hAnsi="Arial Narrow" w:cs="Arial"/>
                <w:bCs/>
                <w:color w:val="C0C0C0"/>
                <w:sz w:val="22"/>
                <w:szCs w:val="22"/>
              </w:rPr>
            </w:pPr>
            <w:r w:rsidRPr="001500B0">
              <w:rPr>
                <w:rFonts w:ascii="Arial Narrow" w:hAnsi="Arial Narrow" w:cs="Arial"/>
                <w:bCs/>
                <w:color w:val="C0C0C0"/>
                <w:sz w:val="22"/>
                <w:szCs w:val="22"/>
              </w:rPr>
              <w:t>Transactional &amp; Business Services</w:t>
            </w:r>
            <w:r w:rsidRPr="001500B0">
              <w:rPr>
                <w:rFonts w:ascii="Arial Narrow" w:hAnsi="Arial Narrow" w:cs="Arial"/>
                <w:bCs/>
                <w:color w:val="C0C0C0"/>
                <w:sz w:val="22"/>
                <w:szCs w:val="22"/>
              </w:rPr>
              <w:br/>
            </w:r>
          </w:p>
          <w:p w:rsidR="00175D4C" w:rsidRDefault="00175D4C" w:rsidP="00175D4C">
            <w:pPr>
              <w:spacing w:after="120"/>
              <w:jc w:val="center"/>
              <w:rPr>
                <w:rFonts w:ascii="Arial Narrow" w:hAnsi="Arial Narrow" w:cs="Arial"/>
                <w:bCs/>
                <w:color w:val="C0C0C0"/>
                <w:sz w:val="20"/>
                <w:szCs w:val="20"/>
              </w:rPr>
            </w:pPr>
            <w:r w:rsidRPr="001500B0">
              <w:rPr>
                <w:rFonts w:ascii="Arial Narrow" w:hAnsi="Arial Narrow" w:cs="Arial"/>
                <w:bCs/>
                <w:color w:val="C0C0C0"/>
                <w:sz w:val="22"/>
                <w:szCs w:val="22"/>
              </w:rPr>
              <w:t>Transportation</w:t>
            </w:r>
            <w:r w:rsidRPr="001500B0">
              <w:rPr>
                <w:rFonts w:ascii="Arial Narrow" w:hAnsi="Arial Narrow" w:cs="Arial"/>
                <w:bCs/>
                <w:color w:val="C0C0C0"/>
                <w:sz w:val="20"/>
                <w:szCs w:val="20"/>
              </w:rPr>
              <w:br/>
            </w:r>
          </w:p>
          <w:p w:rsidR="00175D4C" w:rsidRDefault="00175D4C" w:rsidP="00175D4C">
            <w:pPr>
              <w:tabs>
                <w:tab w:val="left" w:pos="908"/>
              </w:tabs>
              <w:spacing w:after="120"/>
              <w:rPr>
                <w:rFonts w:ascii="Arial Narrow" w:hAnsi="Arial Narrow" w:cs="Arial"/>
                <w:bCs/>
                <w:color w:val="C0C0C0"/>
                <w:sz w:val="20"/>
                <w:szCs w:val="20"/>
              </w:rPr>
            </w:pPr>
            <w:r>
              <w:rPr>
                <w:rFonts w:ascii="Arial Narrow" w:hAnsi="Arial Narrow" w:cs="Arial"/>
                <w:bCs/>
                <w:color w:val="C0C0C0"/>
                <w:sz w:val="20"/>
                <w:szCs w:val="20"/>
              </w:rPr>
              <w:tab/>
            </w:r>
          </w:p>
          <w:p w:rsidR="00175D4C" w:rsidRDefault="00175D4C" w:rsidP="00175D4C">
            <w:pPr>
              <w:spacing w:after="120"/>
              <w:jc w:val="center"/>
              <w:rPr>
                <w:rFonts w:ascii="Arial Narrow" w:hAnsi="Arial Narrow" w:cs="Arial"/>
                <w:bCs/>
                <w:color w:val="C0C0C0"/>
                <w:sz w:val="20"/>
                <w:szCs w:val="20"/>
              </w:rPr>
            </w:pPr>
          </w:p>
          <w:p w:rsidR="00175D4C" w:rsidRDefault="00175D4C" w:rsidP="00175D4C">
            <w:pPr>
              <w:spacing w:after="120"/>
              <w:jc w:val="center"/>
              <w:rPr>
                <w:rFonts w:ascii="Arial Narrow" w:hAnsi="Arial Narrow" w:cs="Arial"/>
                <w:bCs/>
                <w:color w:val="C0C0C0"/>
                <w:sz w:val="20"/>
                <w:szCs w:val="20"/>
              </w:rPr>
            </w:pPr>
          </w:p>
          <w:p w:rsidR="00175D4C" w:rsidRDefault="00175D4C" w:rsidP="00175D4C">
            <w:pPr>
              <w:spacing w:after="120"/>
              <w:jc w:val="center"/>
              <w:rPr>
                <w:rFonts w:ascii="Arial Narrow" w:hAnsi="Arial Narrow" w:cs="Arial"/>
                <w:bCs/>
                <w:color w:val="C0C0C0"/>
                <w:sz w:val="20"/>
                <w:szCs w:val="20"/>
              </w:rPr>
            </w:pPr>
          </w:p>
          <w:p w:rsidR="00175D4C" w:rsidRPr="006B74F0" w:rsidRDefault="00175D4C" w:rsidP="00175D4C">
            <w:pPr>
              <w:spacing w:after="120"/>
              <w:jc w:val="center"/>
              <w:rPr>
                <w:rFonts w:ascii="Arial Narrow" w:hAnsi="Arial Narrow" w:cs="Arial"/>
                <w:bCs/>
                <w:color w:val="C0C0C0"/>
                <w:sz w:val="20"/>
                <w:szCs w:val="20"/>
              </w:rPr>
            </w:pPr>
          </w:p>
          <w:p w:rsidR="00175D4C" w:rsidRPr="00E9390B" w:rsidRDefault="00175D4C" w:rsidP="00175D4C">
            <w:pPr>
              <w:jc w:val="center"/>
              <w:rPr>
                <w:rFonts w:ascii="Arial Narrow" w:hAnsi="Arial Narrow" w:cs="Arial"/>
                <w:color w:val="C0C0C0"/>
                <w:sz w:val="23"/>
                <w:szCs w:val="23"/>
              </w:rPr>
            </w:pPr>
          </w:p>
          <w:p w:rsidR="00175D4C" w:rsidRDefault="00175D4C" w:rsidP="00175D4C">
            <w:pPr>
              <w:jc w:val="center"/>
              <w:rPr>
                <w:rFonts w:ascii="Arial Narrow" w:hAnsi="Arial Narrow" w:cs="Arial"/>
                <w:bCs/>
                <w:color w:val="C0C0C0"/>
                <w:sz w:val="20"/>
                <w:szCs w:val="20"/>
              </w:rPr>
            </w:pPr>
          </w:p>
          <w:p w:rsidR="00175D4C" w:rsidRDefault="00175D4C" w:rsidP="00175D4C">
            <w:pPr>
              <w:rPr>
                <w:rFonts w:ascii="Arial Narrow" w:hAnsi="Arial Narrow" w:cs="Arial"/>
                <w:bCs/>
                <w:color w:val="C0C0C0"/>
                <w:sz w:val="20"/>
                <w:szCs w:val="20"/>
              </w:rPr>
            </w:pPr>
          </w:p>
          <w:p w:rsidR="00175D4C" w:rsidRDefault="00175D4C" w:rsidP="007A721C">
            <w:pPr>
              <w:rPr>
                <w:rFonts w:ascii="Arial Narrow" w:hAnsi="Arial Narrow" w:cs="Arial"/>
                <w:bCs/>
                <w:color w:val="C0C0C0"/>
                <w:sz w:val="20"/>
                <w:szCs w:val="20"/>
              </w:rPr>
            </w:pPr>
          </w:p>
          <w:p w:rsidR="007A721C" w:rsidRDefault="007A721C" w:rsidP="007A721C">
            <w:pPr>
              <w:rPr>
                <w:rFonts w:ascii="Arial Narrow" w:hAnsi="Arial Narrow" w:cs="Arial"/>
                <w:bCs/>
                <w:color w:val="C0C0C0"/>
                <w:sz w:val="20"/>
                <w:szCs w:val="20"/>
              </w:rPr>
            </w:pPr>
          </w:p>
          <w:p w:rsidR="00175D4C" w:rsidRDefault="00175D4C" w:rsidP="00175D4C">
            <w:pPr>
              <w:jc w:val="center"/>
              <w:rPr>
                <w:rFonts w:ascii="Arial Narrow" w:hAnsi="Arial Narrow" w:cs="Arial"/>
                <w:bCs/>
                <w:color w:val="C0C0C0"/>
                <w:sz w:val="20"/>
                <w:szCs w:val="20"/>
              </w:rPr>
            </w:pPr>
          </w:p>
          <w:p w:rsidR="00175D4C" w:rsidRPr="001500B0" w:rsidRDefault="00175D4C" w:rsidP="00175D4C">
            <w:pPr>
              <w:jc w:val="center"/>
              <w:rPr>
                <w:rFonts w:ascii="Arial Narrow" w:hAnsi="Arial Narrow" w:cs="Arial"/>
                <w:bCs/>
                <w:color w:val="C0C0C0"/>
                <w:sz w:val="22"/>
                <w:szCs w:val="22"/>
              </w:rPr>
            </w:pPr>
            <w:r>
              <w:rPr>
                <w:rFonts w:ascii="Arial Narrow" w:hAnsi="Arial Narrow" w:cs="Arial"/>
                <w:bCs/>
                <w:color w:val="C0C0C0"/>
                <w:sz w:val="20"/>
                <w:szCs w:val="20"/>
              </w:rPr>
              <w:t>San Diego | Los Angeles | Phoenix</w:t>
            </w:r>
          </w:p>
          <w:p w:rsidR="00175D4C" w:rsidRPr="001500B0" w:rsidRDefault="00175D4C" w:rsidP="00175D4C">
            <w:pPr>
              <w:jc w:val="center"/>
              <w:rPr>
                <w:rFonts w:ascii="Arial Narrow" w:hAnsi="Arial Narrow" w:cs="Arial"/>
                <w:bCs/>
                <w:color w:val="C0C0C0"/>
                <w:sz w:val="20"/>
                <w:szCs w:val="20"/>
              </w:rPr>
            </w:pPr>
          </w:p>
          <w:p w:rsidR="00175D4C" w:rsidRPr="00175D4C" w:rsidRDefault="00175D4C" w:rsidP="00175D4C">
            <w:pPr>
              <w:jc w:val="center"/>
              <w:rPr>
                <w:rFonts w:ascii="Arial Narrow" w:hAnsi="Arial Narrow" w:cs="Arial"/>
                <w:bCs/>
                <w:color w:val="C0C0C0"/>
                <w:sz w:val="22"/>
                <w:szCs w:val="22"/>
              </w:rPr>
            </w:pPr>
            <w:r w:rsidRPr="001500B0">
              <w:rPr>
                <w:rFonts w:ascii="Arial Narrow" w:hAnsi="Arial Narrow" w:cs="Arial"/>
                <w:bCs/>
                <w:color w:val="C0C0C0"/>
                <w:sz w:val="22"/>
                <w:szCs w:val="22"/>
              </w:rPr>
              <w:t>www.pettitkohn.com</w:t>
            </w:r>
          </w:p>
        </w:tc>
        <w:tc>
          <w:tcPr>
            <w:tcW w:w="8280" w:type="dxa"/>
          </w:tcPr>
          <w:p w:rsidR="00A5679C" w:rsidRDefault="00215D57" w:rsidP="003B782D">
            <w:pPr>
              <w:rPr>
                <w:rFonts w:ascii="Arial Narrow" w:hAnsi="Arial Narrow"/>
                <w:i/>
                <w:color w:val="336699"/>
                <w:sz w:val="23"/>
                <w:szCs w:val="23"/>
                <w:u w:val="single"/>
              </w:rPr>
            </w:pPr>
            <w:r>
              <w:rPr>
                <w:noProof/>
              </w:rPr>
              <w:lastRenderedPageBreak/>
              <w:drawing>
                <wp:anchor distT="0" distB="0" distL="114300" distR="114300" simplePos="0" relativeHeight="251657727" behindDoc="1" locked="0" layoutInCell="1" allowOverlap="1" wp14:anchorId="39F1DB28" wp14:editId="0E7157A4">
                  <wp:simplePos x="0" y="0"/>
                  <wp:positionH relativeFrom="column">
                    <wp:posOffset>786765</wp:posOffset>
                  </wp:positionH>
                  <wp:positionV relativeFrom="paragraph">
                    <wp:posOffset>-24130</wp:posOffset>
                  </wp:positionV>
                  <wp:extent cx="3369233" cy="838200"/>
                  <wp:effectExtent l="0" t="0" r="3175" b="0"/>
                  <wp:wrapNone/>
                  <wp:docPr id="5" name="Picture 5" descr="pettitKo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titKohn-logo"/>
                          <pic:cNvPicPr>
                            <a:picLocks noChangeAspect="1" noChangeArrowheads="1"/>
                          </pic:cNvPicPr>
                        </pic:nvPicPr>
                        <pic:blipFill>
                          <a:blip r:embed="rId8" cstate="print"/>
                          <a:srcRect/>
                          <a:stretch>
                            <a:fillRect/>
                          </a:stretch>
                        </pic:blipFill>
                        <pic:spPr bwMode="auto">
                          <a:xfrm>
                            <a:off x="0" y="0"/>
                            <a:ext cx="3369233"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250E" w:rsidRPr="00215D57" w:rsidRDefault="0048250E" w:rsidP="00004BEE">
            <w:pPr>
              <w:tabs>
                <w:tab w:val="left" w:pos="4035"/>
                <w:tab w:val="left" w:pos="6390"/>
              </w:tabs>
              <w:rPr>
                <w:rFonts w:ascii="Arial Narrow" w:hAnsi="Arial Narrow"/>
                <w:b/>
                <w:color w:val="336699"/>
                <w:sz w:val="72"/>
                <w:szCs w:val="72"/>
              </w:rPr>
            </w:pPr>
          </w:p>
          <w:p w:rsidR="00215D57" w:rsidRDefault="0048250E" w:rsidP="00481BD7">
            <w:pPr>
              <w:tabs>
                <w:tab w:val="right" w:pos="8064"/>
              </w:tabs>
              <w:rPr>
                <w:rFonts w:ascii="Arial Narrow" w:hAnsi="Arial Narrow"/>
                <w:b/>
                <w:color w:val="336699"/>
                <w:sz w:val="72"/>
                <w:szCs w:val="72"/>
              </w:rPr>
            </w:pPr>
            <w:r>
              <w:rPr>
                <w:noProof/>
              </w:rPr>
              <w:drawing>
                <wp:anchor distT="0" distB="0" distL="114300" distR="114300" simplePos="0" relativeHeight="251667968" behindDoc="1" locked="0" layoutInCell="1" allowOverlap="1" wp14:anchorId="2D3BD458" wp14:editId="6B4DFC6C">
                  <wp:simplePos x="0" y="0"/>
                  <wp:positionH relativeFrom="column">
                    <wp:posOffset>386715</wp:posOffset>
                  </wp:positionH>
                  <wp:positionV relativeFrom="paragraph">
                    <wp:posOffset>168910</wp:posOffset>
                  </wp:positionV>
                  <wp:extent cx="4229100" cy="66341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29100" cy="663419"/>
                          </a:xfrm>
                          <a:prstGeom prst="rect">
                            <a:avLst/>
                          </a:prstGeom>
                        </pic:spPr>
                      </pic:pic>
                    </a:graphicData>
                  </a:graphic>
                </wp:anchor>
              </w:drawing>
            </w:r>
            <w:r w:rsidR="00481BD7">
              <w:rPr>
                <w:rFonts w:ascii="Arial Narrow" w:hAnsi="Arial Narrow"/>
                <w:b/>
                <w:color w:val="336699"/>
                <w:sz w:val="72"/>
                <w:szCs w:val="72"/>
              </w:rPr>
              <w:tab/>
            </w:r>
          </w:p>
          <w:p w:rsidR="00481BD7" w:rsidRPr="00481BD7" w:rsidRDefault="00481BD7" w:rsidP="00481BD7">
            <w:pPr>
              <w:tabs>
                <w:tab w:val="right" w:pos="8064"/>
              </w:tabs>
              <w:rPr>
                <w:rFonts w:ascii="Arial Narrow" w:hAnsi="Arial Narrow"/>
                <w:b/>
                <w:color w:val="336699"/>
                <w:sz w:val="32"/>
                <w:szCs w:val="32"/>
              </w:rPr>
            </w:pPr>
          </w:p>
          <w:p w:rsidR="00215D57" w:rsidRDefault="00215D57" w:rsidP="00765309">
            <w:pPr>
              <w:rPr>
                <w:rFonts w:ascii="Arial Narrow" w:hAnsi="Arial Narrow"/>
                <w:i/>
                <w:color w:val="336699"/>
                <w:sz w:val="23"/>
                <w:szCs w:val="23"/>
                <w:u w:val="single"/>
              </w:rPr>
            </w:pPr>
          </w:p>
          <w:p w:rsidR="00427A86" w:rsidRDefault="00A5679C" w:rsidP="00EC60B3">
            <w:pPr>
              <w:rPr>
                <w:rFonts w:ascii="Arial Narrow" w:hAnsi="Arial Narrow"/>
                <w:b/>
                <w:color w:val="336699"/>
                <w:sz w:val="72"/>
                <w:szCs w:val="72"/>
              </w:rPr>
            </w:pPr>
            <w:r w:rsidRPr="00F93337">
              <w:rPr>
                <w:rFonts w:ascii="Arial Narrow" w:hAnsi="Arial Narrow"/>
                <w:i/>
                <w:color w:val="336699"/>
                <w:sz w:val="23"/>
                <w:szCs w:val="23"/>
                <w:u w:val="single"/>
              </w:rPr>
              <w:t xml:space="preserve">Relationship-Driven Results                                                                        </w:t>
            </w:r>
            <w:r>
              <w:rPr>
                <w:rFonts w:ascii="Arial Narrow" w:hAnsi="Arial Narrow"/>
                <w:i/>
                <w:color w:val="336699"/>
                <w:sz w:val="23"/>
                <w:szCs w:val="23"/>
                <w:u w:val="single"/>
              </w:rPr>
              <w:t xml:space="preserve">           </w:t>
            </w:r>
            <w:r w:rsidR="00605528">
              <w:rPr>
                <w:rFonts w:ascii="Arial Narrow" w:hAnsi="Arial Narrow"/>
                <w:i/>
                <w:color w:val="336699"/>
                <w:sz w:val="23"/>
                <w:szCs w:val="23"/>
                <w:u w:val="single"/>
              </w:rPr>
              <w:t>Februar</w:t>
            </w:r>
            <w:r w:rsidR="00864EBE">
              <w:rPr>
                <w:rFonts w:ascii="Arial Narrow" w:hAnsi="Arial Narrow"/>
                <w:i/>
                <w:color w:val="336699"/>
                <w:sz w:val="23"/>
                <w:szCs w:val="23"/>
                <w:u w:val="single"/>
              </w:rPr>
              <w:t xml:space="preserve">y </w:t>
            </w:r>
            <w:r>
              <w:rPr>
                <w:rFonts w:ascii="Arial Narrow" w:hAnsi="Arial Narrow"/>
                <w:i/>
                <w:color w:val="336699"/>
                <w:sz w:val="23"/>
                <w:szCs w:val="23"/>
                <w:u w:val="single"/>
              </w:rPr>
              <w:t>201</w:t>
            </w:r>
            <w:r w:rsidR="00864EBE">
              <w:rPr>
                <w:rFonts w:ascii="Arial Narrow" w:hAnsi="Arial Narrow"/>
                <w:i/>
                <w:color w:val="336699"/>
                <w:sz w:val="23"/>
                <w:szCs w:val="23"/>
                <w:u w:val="single"/>
              </w:rPr>
              <w:t>7</w:t>
            </w:r>
          </w:p>
          <w:p w:rsidR="00BE2A5A" w:rsidRPr="00892D1E" w:rsidRDefault="00BE2A5A" w:rsidP="001C7EFB">
            <w:pPr>
              <w:ind w:firstLine="720"/>
              <w:rPr>
                <w:sz w:val="23"/>
                <w:szCs w:val="23"/>
              </w:rPr>
            </w:pPr>
            <w:r w:rsidRPr="00892D1E">
              <w:rPr>
                <w:sz w:val="23"/>
                <w:szCs w:val="23"/>
              </w:rPr>
              <w:t xml:space="preserve">We are pleased to bring you our firm’s </w:t>
            </w:r>
            <w:r w:rsidR="00400CB5" w:rsidRPr="00892D1E">
              <w:rPr>
                <w:sz w:val="23"/>
                <w:szCs w:val="23"/>
              </w:rPr>
              <w:t xml:space="preserve">inaugural </w:t>
            </w:r>
            <w:r w:rsidRPr="00892D1E">
              <w:rPr>
                <w:sz w:val="23"/>
                <w:szCs w:val="23"/>
              </w:rPr>
              <w:t xml:space="preserve">Quarterly Professional Liability update.  We appreciate and are grateful for the opportunity to represent your interests and for earning your trust and confidence to provide you the best possible service.  2016 was a strong performance year for our Professional Liability team </w:t>
            </w:r>
            <w:r w:rsidR="00470D5D" w:rsidRPr="00892D1E">
              <w:rPr>
                <w:sz w:val="23"/>
                <w:szCs w:val="23"/>
              </w:rPr>
              <w:t xml:space="preserve">as our firm celebrated its 10 year anniversary </w:t>
            </w:r>
            <w:r w:rsidRPr="00892D1E">
              <w:rPr>
                <w:sz w:val="23"/>
                <w:szCs w:val="23"/>
              </w:rPr>
              <w:t>and we recognize that our successes would not have been possible without your support and assistance.</w:t>
            </w:r>
          </w:p>
          <w:p w:rsidR="00BE2A5A" w:rsidRPr="00892D1E" w:rsidRDefault="00BE2A5A" w:rsidP="00BE2A5A">
            <w:pPr>
              <w:rPr>
                <w:sz w:val="23"/>
                <w:szCs w:val="23"/>
              </w:rPr>
            </w:pPr>
          </w:p>
          <w:p w:rsidR="00EC1A06" w:rsidRPr="00892D1E" w:rsidRDefault="00BE2A5A" w:rsidP="00400CB5">
            <w:pPr>
              <w:ind w:firstLine="720"/>
              <w:rPr>
                <w:sz w:val="23"/>
                <w:szCs w:val="23"/>
              </w:rPr>
            </w:pPr>
            <w:r w:rsidRPr="00892D1E">
              <w:rPr>
                <w:sz w:val="23"/>
                <w:szCs w:val="23"/>
              </w:rPr>
              <w:t>We hope you enjoy the upcoming articles and professional liability subject matter knowledge that we would like to share for your benefit.  We pride ourselves in building partner relationships with our clients and so we also would like to share with you some personal and professional biographical information of members of our Professional Liability team for you to get to know us a little better.  Thank you again and we wish you continued success in 2017.</w:t>
            </w:r>
          </w:p>
          <w:p w:rsidR="00400CB5" w:rsidRPr="00892D1E" w:rsidRDefault="00400CB5" w:rsidP="00400CB5">
            <w:pPr>
              <w:ind w:firstLine="720"/>
              <w:rPr>
                <w:sz w:val="23"/>
                <w:szCs w:val="23"/>
              </w:rPr>
            </w:pPr>
          </w:p>
          <w:p w:rsidR="00400CB5" w:rsidRPr="00892D1E" w:rsidRDefault="00400CB5" w:rsidP="00400CB5">
            <w:pPr>
              <w:jc w:val="center"/>
              <w:rPr>
                <w:b/>
                <w:sz w:val="23"/>
                <w:szCs w:val="23"/>
                <w:u w:val="single"/>
              </w:rPr>
            </w:pPr>
            <w:r w:rsidRPr="00892D1E">
              <w:rPr>
                <w:b/>
                <w:sz w:val="23"/>
                <w:szCs w:val="23"/>
                <w:u w:val="single"/>
              </w:rPr>
              <w:t>Recent Updates</w:t>
            </w:r>
          </w:p>
          <w:p w:rsidR="00427A86" w:rsidRPr="00892D1E" w:rsidRDefault="00427A86" w:rsidP="00427A86">
            <w:pPr>
              <w:rPr>
                <w:sz w:val="23"/>
                <w:szCs w:val="23"/>
              </w:rPr>
            </w:pPr>
          </w:p>
          <w:p w:rsidR="00BE2A5A" w:rsidRPr="00892D1E" w:rsidRDefault="00BE2A5A" w:rsidP="00BE2A5A">
            <w:pPr>
              <w:pStyle w:val="NoSpacing"/>
              <w:jc w:val="center"/>
              <w:rPr>
                <w:rFonts w:ascii="Times New Roman" w:hAnsi="Times New Roman" w:cs="Times New Roman"/>
                <w:b/>
                <w:sz w:val="23"/>
                <w:szCs w:val="23"/>
              </w:rPr>
            </w:pPr>
            <w:r w:rsidRPr="00892D1E">
              <w:rPr>
                <w:rFonts w:ascii="Times New Roman" w:hAnsi="Times New Roman" w:cs="Times New Roman"/>
                <w:b/>
                <w:sz w:val="23"/>
                <w:szCs w:val="23"/>
              </w:rPr>
              <w:t>Broad Application of the One-Year Statute of Limitations to An Attorney’s Professional Services</w:t>
            </w:r>
          </w:p>
          <w:p w:rsidR="00BE2A5A" w:rsidRPr="00892D1E" w:rsidRDefault="00BE2A5A" w:rsidP="00BE2A5A">
            <w:pPr>
              <w:pStyle w:val="NoSpacing"/>
              <w:jc w:val="center"/>
              <w:rPr>
                <w:rFonts w:ascii="Times New Roman" w:hAnsi="Times New Roman" w:cs="Times New Roman"/>
                <w:b/>
                <w:sz w:val="23"/>
                <w:szCs w:val="23"/>
              </w:rPr>
            </w:pPr>
          </w:p>
          <w:p w:rsidR="00BE2A5A" w:rsidRPr="00892D1E" w:rsidRDefault="00BE2A5A" w:rsidP="00BE2A5A">
            <w:pPr>
              <w:pStyle w:val="NoSpacing"/>
              <w:ind w:firstLine="720"/>
              <w:rPr>
                <w:rFonts w:ascii="Times New Roman" w:hAnsi="Times New Roman" w:cs="Times New Roman"/>
                <w:sz w:val="23"/>
                <w:szCs w:val="23"/>
              </w:rPr>
            </w:pPr>
            <w:r w:rsidRPr="00892D1E">
              <w:rPr>
                <w:rFonts w:ascii="Times New Roman" w:hAnsi="Times New Roman" w:cs="Times New Roman"/>
                <w:sz w:val="23"/>
                <w:szCs w:val="23"/>
              </w:rPr>
              <w:t xml:space="preserve">California’s one-year statute of limitations set forth at Code of Civil Procedure section 340.6, subdivision (a) is well-known to apply to garden-variety legal malpractice claims. However, a recent California Supreme Court decision followed by subsequent appellate decisions suggest the broad application of section 340.6(a) to claims like malicious prosecution, unfair business practices, and accounting. </w:t>
            </w:r>
          </w:p>
          <w:p w:rsidR="00BE2A5A" w:rsidRPr="00892D1E" w:rsidRDefault="00BE2A5A" w:rsidP="00BE2A5A">
            <w:pPr>
              <w:pStyle w:val="NoSpacing"/>
              <w:rPr>
                <w:rFonts w:ascii="Times New Roman" w:hAnsi="Times New Roman" w:cs="Times New Roman"/>
                <w:sz w:val="23"/>
                <w:szCs w:val="23"/>
              </w:rPr>
            </w:pPr>
          </w:p>
          <w:p w:rsidR="00C7798D" w:rsidRPr="00892D1E" w:rsidRDefault="00BE2A5A" w:rsidP="00EC1A06">
            <w:pPr>
              <w:pStyle w:val="NoSpacing"/>
              <w:ind w:firstLine="720"/>
              <w:rPr>
                <w:rFonts w:ascii="Times New Roman" w:hAnsi="Times New Roman" w:cs="Times New Roman"/>
                <w:sz w:val="23"/>
                <w:szCs w:val="23"/>
              </w:rPr>
            </w:pPr>
            <w:r w:rsidRPr="00892D1E">
              <w:rPr>
                <w:rFonts w:ascii="Times New Roman" w:hAnsi="Times New Roman" w:cs="Times New Roman"/>
                <w:sz w:val="23"/>
                <w:szCs w:val="23"/>
              </w:rPr>
              <w:t xml:space="preserve">Recently, in </w:t>
            </w:r>
            <w:r w:rsidRPr="00892D1E">
              <w:rPr>
                <w:rFonts w:ascii="Times New Roman" w:hAnsi="Times New Roman" w:cs="Times New Roman"/>
                <w:i/>
                <w:sz w:val="23"/>
                <w:szCs w:val="23"/>
              </w:rPr>
              <w:t xml:space="preserve">Foxen v. Carpenter </w:t>
            </w:r>
            <w:r w:rsidRPr="00892D1E">
              <w:rPr>
                <w:rFonts w:ascii="Times New Roman" w:hAnsi="Times New Roman" w:cs="Times New Roman"/>
                <w:sz w:val="23"/>
                <w:szCs w:val="23"/>
              </w:rPr>
              <w:t xml:space="preserve">(2016) 6 Cal.App.5th 284, the court held that section 340.6(a) operates as a time-bar to claims that are not typically looked at as professional negligence claims; namely, unfair business practices, conversion, accounting, money had and received, and breach of contract. The plaintiff in </w:t>
            </w:r>
            <w:r w:rsidRPr="00892D1E">
              <w:rPr>
                <w:rFonts w:ascii="Times New Roman" w:hAnsi="Times New Roman" w:cs="Times New Roman"/>
                <w:i/>
                <w:sz w:val="23"/>
                <w:szCs w:val="23"/>
              </w:rPr>
              <w:t xml:space="preserve">Foxen </w:t>
            </w:r>
            <w:r w:rsidRPr="00892D1E">
              <w:rPr>
                <w:rFonts w:ascii="Times New Roman" w:hAnsi="Times New Roman" w:cs="Times New Roman"/>
                <w:sz w:val="23"/>
                <w:szCs w:val="23"/>
              </w:rPr>
              <w:t>contended that the four-year statute of limitations set forth at Code of Civil Procedure section 337 should apply because her claims were based on a written instrument. The plaintiff argued that her contract claims were not based on the “quality” of her attorneys’ legal services, but her attorney’s breach of “nonprofessional obligations” that are generally owed in any contractual relationship. (</w:t>
            </w:r>
            <w:r w:rsidRPr="00892D1E">
              <w:rPr>
                <w:rFonts w:ascii="Times New Roman" w:hAnsi="Times New Roman" w:cs="Times New Roman"/>
                <w:i/>
                <w:sz w:val="23"/>
                <w:szCs w:val="23"/>
              </w:rPr>
              <w:t>Foxen, supra</w:t>
            </w:r>
            <w:r w:rsidRPr="00892D1E">
              <w:rPr>
                <w:rFonts w:ascii="Times New Roman" w:hAnsi="Times New Roman" w:cs="Times New Roman"/>
                <w:sz w:val="23"/>
                <w:szCs w:val="23"/>
              </w:rPr>
              <w:t>, 6 Cal.App.5th at pp. 291-292). The court disagreed and held that plaintiff’s contract claims necessarily depended on proof that her attorneys violated a professional obligation arising by virtue of them being her attorneys, including whether plaintiff’s attorneys properly accounted for settlement funds in a personal injury action.</w:t>
            </w:r>
          </w:p>
          <w:p w:rsidR="00BE2A5A" w:rsidRPr="00892D1E" w:rsidRDefault="00BE2A5A" w:rsidP="00BE2A5A">
            <w:pPr>
              <w:pStyle w:val="NoSpacing"/>
              <w:rPr>
                <w:rFonts w:ascii="Times New Roman" w:hAnsi="Times New Roman" w:cs="Times New Roman"/>
                <w:sz w:val="23"/>
                <w:szCs w:val="23"/>
              </w:rPr>
            </w:pPr>
          </w:p>
          <w:p w:rsidR="00BE2A5A" w:rsidRPr="00892D1E" w:rsidRDefault="00785085" w:rsidP="00BE2A5A">
            <w:pPr>
              <w:pStyle w:val="NoSpacing"/>
              <w:ind w:firstLine="720"/>
              <w:rPr>
                <w:rFonts w:ascii="Times New Roman" w:hAnsi="Times New Roman" w:cs="Times New Roman"/>
                <w:sz w:val="23"/>
                <w:szCs w:val="23"/>
              </w:rPr>
            </w:pPr>
            <w:r>
              <w:rPr>
                <w:rFonts w:ascii="Times New Roman" w:hAnsi="Times New Roman" w:cs="Times New Roman"/>
                <w:sz w:val="23"/>
                <w:szCs w:val="23"/>
              </w:rPr>
              <w:t>O</w:t>
            </w:r>
            <w:r w:rsidR="00BE2A5A" w:rsidRPr="00892D1E">
              <w:rPr>
                <w:rFonts w:ascii="Times New Roman" w:hAnsi="Times New Roman" w:cs="Times New Roman"/>
                <w:sz w:val="23"/>
                <w:szCs w:val="23"/>
              </w:rPr>
              <w:t xml:space="preserve">ur California Supreme Court in </w:t>
            </w:r>
            <w:r w:rsidR="00BE2A5A" w:rsidRPr="00892D1E">
              <w:rPr>
                <w:rFonts w:ascii="Times New Roman" w:hAnsi="Times New Roman" w:cs="Times New Roman"/>
                <w:i/>
                <w:sz w:val="23"/>
                <w:szCs w:val="23"/>
              </w:rPr>
              <w:t xml:space="preserve">Lee v. Hanley </w:t>
            </w:r>
            <w:r w:rsidR="00BE2A5A" w:rsidRPr="00892D1E">
              <w:rPr>
                <w:rFonts w:ascii="Times New Roman" w:hAnsi="Times New Roman" w:cs="Times New Roman"/>
                <w:sz w:val="23"/>
                <w:szCs w:val="23"/>
              </w:rPr>
              <w:t xml:space="preserve">(2015) 61 Cal.4th 1225 evaluated the legislative history in the Legislature’s purpose in enacting section 340.6(a). After section 340.6(a)’s enactment, the focus shifted to the alleged wrongful conduct, rather than often poorly worded legal theories in a complaint to determine the governing statute of limitations. The Court found section 340.6(a) would apply broadly </w:t>
            </w:r>
            <w:r w:rsidR="00BE2A5A" w:rsidRPr="00892D1E">
              <w:rPr>
                <w:rFonts w:ascii="Times New Roman" w:hAnsi="Times New Roman" w:cs="Times New Roman"/>
                <w:sz w:val="23"/>
                <w:szCs w:val="23"/>
              </w:rPr>
              <w:lastRenderedPageBreak/>
              <w:t>to any claims that depend on proof that the attorney violated a “professional obligation” in the course of providing professional services. (</w:t>
            </w:r>
            <w:r w:rsidR="00BE2A5A" w:rsidRPr="00892D1E">
              <w:rPr>
                <w:rFonts w:ascii="Times New Roman" w:hAnsi="Times New Roman" w:cs="Times New Roman"/>
                <w:i/>
                <w:sz w:val="23"/>
                <w:szCs w:val="23"/>
              </w:rPr>
              <w:t>Lee, supra</w:t>
            </w:r>
            <w:r w:rsidR="00BE2A5A" w:rsidRPr="00892D1E">
              <w:rPr>
                <w:rFonts w:ascii="Times New Roman" w:hAnsi="Times New Roman" w:cs="Times New Roman"/>
                <w:sz w:val="23"/>
                <w:szCs w:val="23"/>
              </w:rPr>
              <w:t xml:space="preserve">, 61 Cal.4th at p. 1236.) The California Supreme Court cited to several cases including </w:t>
            </w:r>
            <w:r w:rsidR="00BE2A5A" w:rsidRPr="00892D1E">
              <w:rPr>
                <w:rFonts w:ascii="Times New Roman" w:hAnsi="Times New Roman" w:cs="Times New Roman"/>
                <w:i/>
                <w:sz w:val="23"/>
                <w:szCs w:val="23"/>
              </w:rPr>
              <w:t xml:space="preserve">Yee v. Cheung </w:t>
            </w:r>
            <w:r w:rsidR="00BE2A5A" w:rsidRPr="00892D1E">
              <w:rPr>
                <w:rFonts w:ascii="Times New Roman" w:hAnsi="Times New Roman" w:cs="Times New Roman"/>
                <w:sz w:val="23"/>
                <w:szCs w:val="23"/>
              </w:rPr>
              <w:t xml:space="preserve">(2013) 220 Cal.App.4th 184, 195-196, a case successfully handled by </w:t>
            </w:r>
            <w:hyperlink r:id="rId10" w:history="1">
              <w:r w:rsidR="00BE2A5A" w:rsidRPr="00004BEE">
                <w:rPr>
                  <w:rStyle w:val="Hyperlink"/>
                  <w:rFonts w:ascii="Times New Roman" w:hAnsi="Times New Roman" w:cs="Times New Roman"/>
                  <w:b/>
                  <w:sz w:val="23"/>
                  <w:szCs w:val="23"/>
                </w:rPr>
                <w:t>Pettit Kohn Ingrassia &amp; Lutz PC</w:t>
              </w:r>
            </w:hyperlink>
            <w:r w:rsidR="00BE2A5A" w:rsidRPr="00892D1E">
              <w:rPr>
                <w:rFonts w:ascii="Times New Roman" w:hAnsi="Times New Roman" w:cs="Times New Roman"/>
                <w:sz w:val="23"/>
                <w:szCs w:val="23"/>
              </w:rPr>
              <w:t xml:space="preserve"> at the trial and appellate level, which applied 340.6(a) to a malicious prosecution claim against an attorney.</w:t>
            </w:r>
          </w:p>
          <w:p w:rsidR="00BE2A5A" w:rsidRPr="00892D1E" w:rsidRDefault="00BE2A5A" w:rsidP="00BE2A5A">
            <w:pPr>
              <w:pStyle w:val="NoSpacing"/>
              <w:ind w:firstLine="720"/>
              <w:rPr>
                <w:rFonts w:ascii="Times New Roman" w:hAnsi="Times New Roman" w:cs="Times New Roman"/>
                <w:sz w:val="23"/>
                <w:szCs w:val="23"/>
              </w:rPr>
            </w:pPr>
          </w:p>
          <w:p w:rsidR="00BE2A5A" w:rsidRPr="00892D1E" w:rsidRDefault="00BE2A5A" w:rsidP="00BE2A5A">
            <w:pPr>
              <w:pStyle w:val="NoSpacing"/>
              <w:ind w:firstLine="720"/>
              <w:rPr>
                <w:rFonts w:ascii="Times New Roman" w:hAnsi="Times New Roman" w:cs="Times New Roman"/>
                <w:sz w:val="23"/>
                <w:szCs w:val="23"/>
              </w:rPr>
            </w:pPr>
            <w:r w:rsidRPr="00892D1E">
              <w:rPr>
                <w:rFonts w:ascii="Times New Roman" w:hAnsi="Times New Roman" w:cs="Times New Roman"/>
                <w:sz w:val="23"/>
                <w:szCs w:val="23"/>
              </w:rPr>
              <w:t xml:space="preserve">The </w:t>
            </w:r>
            <w:r w:rsidRPr="00892D1E">
              <w:rPr>
                <w:rFonts w:ascii="Times New Roman" w:hAnsi="Times New Roman" w:cs="Times New Roman"/>
                <w:i/>
                <w:sz w:val="23"/>
                <w:szCs w:val="23"/>
              </w:rPr>
              <w:t xml:space="preserve">Foxen </w:t>
            </w:r>
            <w:r w:rsidRPr="00892D1E">
              <w:rPr>
                <w:rFonts w:ascii="Times New Roman" w:hAnsi="Times New Roman" w:cs="Times New Roman"/>
                <w:sz w:val="23"/>
                <w:szCs w:val="23"/>
              </w:rPr>
              <w:t>Court confirmed that where more than one statute may apply to a particular claim, “a specific limitations provision prevails over a more general provision.” (</w:t>
            </w:r>
            <w:r w:rsidRPr="00892D1E">
              <w:rPr>
                <w:rFonts w:ascii="Times New Roman" w:hAnsi="Times New Roman" w:cs="Times New Roman"/>
                <w:i/>
                <w:sz w:val="23"/>
                <w:szCs w:val="23"/>
              </w:rPr>
              <w:t>Foxen, supra</w:t>
            </w:r>
            <w:r w:rsidRPr="00892D1E">
              <w:rPr>
                <w:rFonts w:ascii="Times New Roman" w:hAnsi="Times New Roman" w:cs="Times New Roman"/>
                <w:sz w:val="23"/>
                <w:szCs w:val="23"/>
              </w:rPr>
              <w:t xml:space="preserve">, 6 Cal.App.5th at p. 296 citing </w:t>
            </w:r>
            <w:r w:rsidRPr="00892D1E">
              <w:rPr>
                <w:rFonts w:ascii="Times New Roman" w:hAnsi="Times New Roman" w:cs="Times New Roman"/>
                <w:i/>
                <w:sz w:val="23"/>
                <w:szCs w:val="23"/>
              </w:rPr>
              <w:t xml:space="preserve">Yee, supra, </w:t>
            </w:r>
            <w:r w:rsidRPr="00892D1E">
              <w:rPr>
                <w:rFonts w:ascii="Times New Roman" w:hAnsi="Times New Roman" w:cs="Times New Roman"/>
                <w:sz w:val="23"/>
                <w:szCs w:val="23"/>
              </w:rPr>
              <w:t xml:space="preserve">220 Cal.App.4th at p. 195 [more specific statute of limitations at section 340.6(a) applied to malicious prosecution claim against an attorney rather than general statute applicable to malicious prosecution claims, generally].) Thus, in </w:t>
            </w:r>
            <w:r w:rsidRPr="00892D1E">
              <w:rPr>
                <w:rFonts w:ascii="Times New Roman" w:hAnsi="Times New Roman" w:cs="Times New Roman"/>
                <w:i/>
                <w:sz w:val="23"/>
                <w:szCs w:val="23"/>
              </w:rPr>
              <w:t>Foxen</w:t>
            </w:r>
            <w:r w:rsidRPr="00892D1E">
              <w:rPr>
                <w:rFonts w:ascii="Times New Roman" w:hAnsi="Times New Roman" w:cs="Times New Roman"/>
                <w:sz w:val="23"/>
                <w:szCs w:val="23"/>
              </w:rPr>
              <w:t>, the Court found plaintiff’s Business and Professions Code section 17200 claim for unfair business practices that arose out of her attorney’s violation of professional obligations was also governed by the one-year statute of limitations at section 340.6(a) rather than the general four-year statute at Business and Professions Code 17208.</w:t>
            </w:r>
          </w:p>
          <w:p w:rsidR="002D1A41" w:rsidRPr="00892D1E" w:rsidRDefault="002D1A41" w:rsidP="00BE2A5A">
            <w:pPr>
              <w:pStyle w:val="NoSpacing"/>
              <w:ind w:firstLine="720"/>
              <w:rPr>
                <w:rFonts w:ascii="Times New Roman" w:hAnsi="Times New Roman" w:cs="Times New Roman"/>
                <w:sz w:val="23"/>
                <w:szCs w:val="23"/>
              </w:rPr>
            </w:pPr>
          </w:p>
          <w:p w:rsidR="002D1A41" w:rsidRPr="00892D1E" w:rsidRDefault="002D1A41" w:rsidP="002D1A41">
            <w:pPr>
              <w:pStyle w:val="NoSpacing"/>
              <w:jc w:val="center"/>
              <w:rPr>
                <w:rFonts w:ascii="Times New Roman" w:hAnsi="Times New Roman" w:cs="Times New Roman"/>
                <w:b/>
                <w:sz w:val="23"/>
                <w:szCs w:val="23"/>
              </w:rPr>
            </w:pPr>
            <w:r w:rsidRPr="00892D1E">
              <w:rPr>
                <w:rFonts w:ascii="Times New Roman" w:hAnsi="Times New Roman" w:cs="Times New Roman"/>
                <w:b/>
                <w:sz w:val="23"/>
                <w:szCs w:val="23"/>
              </w:rPr>
              <w:t xml:space="preserve">Attorney Malpractice Exception to California’s Mediation </w:t>
            </w:r>
          </w:p>
          <w:p w:rsidR="002D1A41" w:rsidRPr="00892D1E" w:rsidRDefault="002D1A41" w:rsidP="002D1A41">
            <w:pPr>
              <w:pStyle w:val="NoSpacing"/>
              <w:jc w:val="center"/>
              <w:rPr>
                <w:rFonts w:ascii="Times New Roman" w:hAnsi="Times New Roman" w:cs="Times New Roman"/>
                <w:b/>
                <w:sz w:val="23"/>
                <w:szCs w:val="23"/>
              </w:rPr>
            </w:pPr>
            <w:r w:rsidRPr="00892D1E">
              <w:rPr>
                <w:rFonts w:ascii="Times New Roman" w:hAnsi="Times New Roman" w:cs="Times New Roman"/>
                <w:b/>
                <w:sz w:val="23"/>
                <w:szCs w:val="23"/>
              </w:rPr>
              <w:t>Confidentiality Provisions</w:t>
            </w:r>
          </w:p>
          <w:p w:rsidR="002D1A41" w:rsidRPr="00892D1E" w:rsidRDefault="002D1A41" w:rsidP="002D1A41">
            <w:pPr>
              <w:pStyle w:val="NoSpacing"/>
              <w:jc w:val="center"/>
              <w:rPr>
                <w:rFonts w:ascii="Times New Roman" w:hAnsi="Times New Roman" w:cs="Times New Roman"/>
                <w:b/>
                <w:sz w:val="23"/>
                <w:szCs w:val="23"/>
              </w:rPr>
            </w:pPr>
          </w:p>
          <w:p w:rsidR="002D1A41" w:rsidRPr="00892D1E" w:rsidRDefault="002D1A41" w:rsidP="002D1A41">
            <w:pPr>
              <w:pStyle w:val="NoSpacing"/>
              <w:ind w:firstLine="720"/>
              <w:rPr>
                <w:rFonts w:ascii="Times New Roman" w:hAnsi="Times New Roman" w:cs="Times New Roman"/>
                <w:sz w:val="23"/>
                <w:szCs w:val="23"/>
              </w:rPr>
            </w:pPr>
            <w:r w:rsidRPr="00892D1E">
              <w:rPr>
                <w:rFonts w:ascii="Times New Roman" w:hAnsi="Times New Roman" w:cs="Times New Roman"/>
                <w:sz w:val="23"/>
                <w:szCs w:val="23"/>
              </w:rPr>
              <w:t xml:space="preserve">The California Law Review Commission (“CLRC”), the independent state agency assisting the Legislature and Governor examining California law, is considering reforms to the mediation confidentiality provisions of California Evidence Code Section 1115 </w:t>
            </w:r>
            <w:r w:rsidRPr="00892D1E">
              <w:rPr>
                <w:rFonts w:ascii="Times New Roman" w:hAnsi="Times New Roman" w:cs="Times New Roman"/>
                <w:i/>
                <w:sz w:val="23"/>
                <w:szCs w:val="23"/>
              </w:rPr>
              <w:t>et seq</w:t>
            </w:r>
            <w:r w:rsidRPr="00892D1E">
              <w:rPr>
                <w:rFonts w:ascii="Times New Roman" w:hAnsi="Times New Roman" w:cs="Times New Roman"/>
                <w:sz w:val="23"/>
                <w:szCs w:val="23"/>
              </w:rPr>
              <w:t xml:space="preserve">. As legal malpractice defense practitioners, we have routinely raised the mediation confidentiality provisions following the California Supreme Court’s decision in </w:t>
            </w:r>
            <w:r w:rsidRPr="00892D1E">
              <w:rPr>
                <w:rFonts w:ascii="Times New Roman" w:hAnsi="Times New Roman" w:cs="Times New Roman"/>
                <w:i/>
                <w:sz w:val="23"/>
                <w:szCs w:val="23"/>
              </w:rPr>
              <w:t xml:space="preserve">Cassel v. Superior Court </w:t>
            </w:r>
            <w:r w:rsidRPr="00892D1E">
              <w:rPr>
                <w:rFonts w:ascii="Times New Roman" w:hAnsi="Times New Roman" w:cs="Times New Roman"/>
                <w:sz w:val="23"/>
                <w:szCs w:val="23"/>
              </w:rPr>
              <w:t xml:space="preserve">(2011) 51 Cal.4th 113 where the Court held that the policies underlying the mediation confidentiality provisions preclude a client from suing his attorney for alleged negligence occurring at a mediation. The </w:t>
            </w:r>
            <w:r w:rsidRPr="00892D1E">
              <w:rPr>
                <w:rFonts w:ascii="Times New Roman" w:hAnsi="Times New Roman" w:cs="Times New Roman"/>
                <w:i/>
                <w:sz w:val="23"/>
                <w:szCs w:val="23"/>
              </w:rPr>
              <w:t xml:space="preserve">Cassel </w:t>
            </w:r>
            <w:r w:rsidRPr="00892D1E">
              <w:rPr>
                <w:rFonts w:ascii="Times New Roman" w:hAnsi="Times New Roman" w:cs="Times New Roman"/>
                <w:sz w:val="23"/>
                <w:szCs w:val="23"/>
              </w:rPr>
              <w:t xml:space="preserve">decision has been broadly applied to include conversations “for the purpose of, in the course of, or pursuant to” the mediation, both before and after, even if the mediator is not present or involved. </w:t>
            </w:r>
          </w:p>
          <w:p w:rsidR="002D1A41" w:rsidRPr="00892D1E" w:rsidRDefault="002D1A41" w:rsidP="002D1A41">
            <w:pPr>
              <w:pStyle w:val="NoSpacing"/>
              <w:ind w:firstLine="720"/>
              <w:rPr>
                <w:rFonts w:ascii="Times New Roman" w:hAnsi="Times New Roman" w:cs="Times New Roman"/>
                <w:sz w:val="23"/>
                <w:szCs w:val="23"/>
              </w:rPr>
            </w:pPr>
          </w:p>
          <w:p w:rsidR="002D1A41" w:rsidRPr="00892D1E" w:rsidRDefault="002D1A41" w:rsidP="006420B8">
            <w:pPr>
              <w:pStyle w:val="NoSpacing"/>
              <w:ind w:firstLine="720"/>
              <w:rPr>
                <w:rFonts w:ascii="Times New Roman" w:hAnsi="Times New Roman" w:cs="Times New Roman"/>
                <w:sz w:val="23"/>
                <w:szCs w:val="23"/>
              </w:rPr>
            </w:pPr>
            <w:r w:rsidRPr="00892D1E">
              <w:rPr>
                <w:rFonts w:ascii="Times New Roman" w:hAnsi="Times New Roman" w:cs="Times New Roman"/>
                <w:sz w:val="23"/>
                <w:szCs w:val="23"/>
              </w:rPr>
              <w:t xml:space="preserve">Following </w:t>
            </w:r>
            <w:r w:rsidRPr="00892D1E">
              <w:rPr>
                <w:rFonts w:ascii="Times New Roman" w:hAnsi="Times New Roman" w:cs="Times New Roman"/>
                <w:i/>
                <w:sz w:val="23"/>
                <w:szCs w:val="23"/>
              </w:rPr>
              <w:t xml:space="preserve">Cassel </w:t>
            </w:r>
            <w:r w:rsidRPr="00892D1E">
              <w:rPr>
                <w:rFonts w:ascii="Times New Roman" w:hAnsi="Times New Roman" w:cs="Times New Roman"/>
                <w:sz w:val="23"/>
                <w:szCs w:val="23"/>
              </w:rPr>
              <w:t>and on recommendation from the Legislature</w:t>
            </w:r>
            <w:r w:rsidRPr="00892D1E">
              <w:rPr>
                <w:rFonts w:ascii="Times New Roman" w:hAnsi="Times New Roman" w:cs="Times New Roman"/>
                <w:i/>
                <w:sz w:val="23"/>
                <w:szCs w:val="23"/>
              </w:rPr>
              <w:t xml:space="preserve">, </w:t>
            </w:r>
            <w:r w:rsidRPr="00892D1E">
              <w:rPr>
                <w:rFonts w:ascii="Times New Roman" w:hAnsi="Times New Roman" w:cs="Times New Roman"/>
                <w:sz w:val="23"/>
                <w:szCs w:val="23"/>
              </w:rPr>
              <w:t>the CLRC has been reviewing whether to include an exception to the mediation confidentiality provisions as it applies to attorney malpractice since 2012. Other jurisdictions, including those states who have adopted the Uniform Mediation Act, already exclude alleged misconduct of an attorney during mediation from the mediation confidentiality provisions.</w:t>
            </w:r>
          </w:p>
          <w:p w:rsidR="002D1A41" w:rsidRPr="00892D1E" w:rsidRDefault="002D1A41" w:rsidP="002D1A41">
            <w:pPr>
              <w:pStyle w:val="NoSpacing"/>
              <w:ind w:firstLine="720"/>
              <w:rPr>
                <w:rFonts w:ascii="Times New Roman" w:hAnsi="Times New Roman" w:cs="Times New Roman"/>
                <w:sz w:val="23"/>
                <w:szCs w:val="23"/>
              </w:rPr>
            </w:pPr>
          </w:p>
          <w:p w:rsidR="002D1A41" w:rsidRPr="00892D1E" w:rsidRDefault="002D1A41" w:rsidP="002D1A41">
            <w:pPr>
              <w:pStyle w:val="NoSpacing"/>
              <w:ind w:firstLine="720"/>
              <w:rPr>
                <w:rFonts w:ascii="Times New Roman" w:hAnsi="Times New Roman" w:cs="Times New Roman"/>
                <w:sz w:val="23"/>
                <w:szCs w:val="23"/>
              </w:rPr>
            </w:pPr>
            <w:r w:rsidRPr="00892D1E">
              <w:rPr>
                <w:rFonts w:ascii="Times New Roman" w:hAnsi="Times New Roman" w:cs="Times New Roman"/>
                <w:sz w:val="23"/>
                <w:szCs w:val="23"/>
              </w:rPr>
              <w:t xml:space="preserve"> The CLRC has evaluated several </w:t>
            </w:r>
            <w:hyperlink r:id="rId11" w:history="1">
              <w:r w:rsidRPr="00892D1E">
                <w:rPr>
                  <w:rStyle w:val="Hyperlink"/>
                  <w:rFonts w:ascii="Times New Roman" w:hAnsi="Times New Roman" w:cs="Times New Roman"/>
                  <w:sz w:val="23"/>
                  <w:szCs w:val="23"/>
                </w:rPr>
                <w:t>considerations</w:t>
              </w:r>
            </w:hyperlink>
            <w:r w:rsidRPr="00892D1E">
              <w:rPr>
                <w:rFonts w:ascii="Times New Roman" w:hAnsi="Times New Roman" w:cs="Times New Roman"/>
                <w:sz w:val="23"/>
                <w:szCs w:val="23"/>
              </w:rPr>
              <w:t xml:space="preserve"> for the proposed exception known as Evidence Code section 1120.5, including an </w:t>
            </w:r>
            <w:r w:rsidRPr="00892D1E">
              <w:rPr>
                <w:rFonts w:ascii="Times New Roman" w:hAnsi="Times New Roman" w:cs="Times New Roman"/>
                <w:i/>
                <w:sz w:val="23"/>
                <w:szCs w:val="23"/>
              </w:rPr>
              <w:t>in camera</w:t>
            </w:r>
            <w:r w:rsidRPr="00892D1E">
              <w:rPr>
                <w:rFonts w:ascii="Times New Roman" w:hAnsi="Times New Roman" w:cs="Times New Roman"/>
                <w:sz w:val="23"/>
                <w:szCs w:val="23"/>
              </w:rPr>
              <w:t xml:space="preserve"> screening process for alleged attorney misconduct, usage while the underlying mediated dispute is still pending, inclusion of mediator testimony, and application to attorneys acting as mediators. In 2015, the CLRC decided that any proposed exception would exclude attorney mediators and would only apply to attorneys representing clients at mediation. The CLRC is still evaluating the other considerations.</w:t>
            </w:r>
          </w:p>
          <w:p w:rsidR="002D1A41" w:rsidRPr="00892D1E" w:rsidRDefault="002D1A41" w:rsidP="002D1A41">
            <w:pPr>
              <w:pStyle w:val="NoSpacing"/>
              <w:ind w:firstLine="720"/>
              <w:rPr>
                <w:rFonts w:ascii="Times New Roman" w:hAnsi="Times New Roman" w:cs="Times New Roman"/>
                <w:sz w:val="23"/>
                <w:szCs w:val="23"/>
              </w:rPr>
            </w:pPr>
          </w:p>
          <w:p w:rsidR="00D07708" w:rsidRPr="00892D1E" w:rsidRDefault="002D1A41" w:rsidP="00892D1E">
            <w:pPr>
              <w:pStyle w:val="NoSpacing"/>
              <w:ind w:firstLine="720"/>
              <w:rPr>
                <w:rFonts w:ascii="Times New Roman" w:hAnsi="Times New Roman" w:cs="Times New Roman"/>
                <w:sz w:val="23"/>
                <w:szCs w:val="23"/>
              </w:rPr>
            </w:pPr>
            <w:r w:rsidRPr="00892D1E">
              <w:rPr>
                <w:rFonts w:ascii="Times New Roman" w:hAnsi="Times New Roman" w:cs="Times New Roman"/>
                <w:sz w:val="23"/>
                <w:szCs w:val="23"/>
              </w:rPr>
              <w:t>Based on the last five years, we can expect that the CLRC is likely to recommend to the Legislation an exception to the mediation confidentiality provisions. What it will actually look like is still under scrutiny. Last December, the CLRC considered revisions to proposed Evidence Code section 1120.5 and discussed the possibility of requiring the California State Bar to collect data if the proposed exception is enacted. The proposed new law will still be made public for comment for several months with anticipated changes before the Legislature has an opportunity to vote on it.</w:t>
            </w:r>
          </w:p>
          <w:p w:rsidR="00D07708" w:rsidRPr="00892D1E" w:rsidRDefault="00D07708" w:rsidP="00D07708">
            <w:pPr>
              <w:pStyle w:val="NoSpacing"/>
              <w:jc w:val="center"/>
              <w:rPr>
                <w:rFonts w:ascii="Times New Roman" w:hAnsi="Times New Roman" w:cs="Times New Roman"/>
                <w:b/>
                <w:sz w:val="32"/>
                <w:szCs w:val="32"/>
                <w:u w:val="single"/>
              </w:rPr>
            </w:pPr>
            <w:r w:rsidRPr="00892D1E">
              <w:rPr>
                <w:rFonts w:ascii="Times New Roman" w:hAnsi="Times New Roman" w:cs="Times New Roman"/>
                <w:b/>
                <w:sz w:val="32"/>
                <w:szCs w:val="32"/>
                <w:u w:val="single"/>
              </w:rPr>
              <w:lastRenderedPageBreak/>
              <w:t>Best Law Firms</w:t>
            </w:r>
          </w:p>
          <w:p w:rsidR="00D07708" w:rsidRPr="00892D1E" w:rsidRDefault="00D07708" w:rsidP="002D1A41">
            <w:pPr>
              <w:pStyle w:val="NoSpacing"/>
              <w:ind w:firstLine="720"/>
              <w:rPr>
                <w:rFonts w:ascii="Times New Roman" w:hAnsi="Times New Roman" w:cs="Times New Roman"/>
                <w:sz w:val="23"/>
                <w:szCs w:val="23"/>
              </w:rPr>
            </w:pPr>
          </w:p>
          <w:p w:rsidR="00D07708" w:rsidRPr="00892D1E" w:rsidRDefault="00D07708" w:rsidP="00D07708">
            <w:pPr>
              <w:pStyle w:val="NormalWeb"/>
              <w:shd w:val="clear" w:color="auto" w:fill="FFFFFF"/>
              <w:spacing w:before="0" w:beforeAutospacing="0" w:after="360" w:afterAutospacing="0"/>
              <w:ind w:firstLine="720"/>
              <w:textAlignment w:val="baseline"/>
              <w:rPr>
                <w:sz w:val="23"/>
                <w:szCs w:val="23"/>
              </w:rPr>
            </w:pPr>
            <w:r w:rsidRPr="00892D1E">
              <w:rPr>
                <w:sz w:val="23"/>
                <w:szCs w:val="23"/>
              </w:rPr>
              <w:t>Pettit Kohn Ingrassia &amp; Lutz is proud to announce their selection as a Tier One “Best Law Firm” for Legal Malpractice – Defendants ranked by U.S. News &amp; World Report.</w:t>
            </w:r>
          </w:p>
          <w:p w:rsidR="00D07708" w:rsidRPr="00892D1E" w:rsidRDefault="00D07708" w:rsidP="00D07708">
            <w:pPr>
              <w:pStyle w:val="NormalWeb"/>
              <w:shd w:val="clear" w:color="auto" w:fill="FFFFFF"/>
              <w:spacing w:before="0" w:beforeAutospacing="0" w:after="360" w:afterAutospacing="0"/>
              <w:ind w:firstLine="720"/>
              <w:textAlignment w:val="baseline"/>
              <w:rPr>
                <w:sz w:val="23"/>
                <w:szCs w:val="23"/>
              </w:rPr>
            </w:pPr>
            <w:r w:rsidRPr="00892D1E">
              <w:rPr>
                <w:sz w:val="23"/>
                <w:szCs w:val="23"/>
              </w:rPr>
              <w:t>The U.S. News – Best Lawyers® “Best Law Firms” rankings are based on a rigorous evaluation process that includes the collection of client and lawyer evaluations, peer review from leading attorneys in their field, and review of additional information provided by law firms as part of the formal submission process. To be eligible for a ranking, a law firm must have at least one lawyer listed in The Best Lawyers in America© list for that particular location and specialty.</w:t>
            </w:r>
          </w:p>
          <w:p w:rsidR="00D07708" w:rsidRDefault="00D07708" w:rsidP="00D07708">
            <w:pPr>
              <w:pStyle w:val="NormalWeb"/>
              <w:shd w:val="clear" w:color="auto" w:fill="FFFFFF"/>
              <w:spacing w:before="0" w:beforeAutospacing="0" w:after="0" w:afterAutospacing="0"/>
              <w:ind w:firstLine="720"/>
              <w:textAlignment w:val="baseline"/>
              <w:rPr>
                <w:sz w:val="23"/>
                <w:szCs w:val="23"/>
              </w:rPr>
            </w:pPr>
            <w:r w:rsidRPr="00892D1E">
              <w:rPr>
                <w:sz w:val="23"/>
                <w:szCs w:val="23"/>
              </w:rPr>
              <w:t>Two Shareholders,</w:t>
            </w:r>
            <w:r w:rsidRPr="00004BEE">
              <w:rPr>
                <w:rStyle w:val="apple-converted-space"/>
                <w:color w:val="0000FF"/>
                <w:sz w:val="23"/>
                <w:szCs w:val="23"/>
              </w:rPr>
              <w:t> </w:t>
            </w:r>
            <w:hyperlink r:id="rId12" w:history="1">
              <w:r w:rsidRPr="00004BEE">
                <w:rPr>
                  <w:rStyle w:val="Hyperlink"/>
                  <w:sz w:val="23"/>
                  <w:szCs w:val="23"/>
                  <w:bdr w:val="none" w:sz="0" w:space="0" w:color="auto" w:frame="1"/>
                </w:rPr>
                <w:t>Douglas Pettit</w:t>
              </w:r>
            </w:hyperlink>
            <w:r w:rsidRPr="00892D1E">
              <w:rPr>
                <w:rStyle w:val="apple-converted-space"/>
                <w:sz w:val="23"/>
                <w:szCs w:val="23"/>
              </w:rPr>
              <w:t> </w:t>
            </w:r>
            <w:r w:rsidRPr="00892D1E">
              <w:rPr>
                <w:sz w:val="23"/>
                <w:szCs w:val="23"/>
              </w:rPr>
              <w:t>and</w:t>
            </w:r>
            <w:r w:rsidRPr="00892D1E">
              <w:rPr>
                <w:rStyle w:val="apple-converted-space"/>
                <w:sz w:val="23"/>
                <w:szCs w:val="23"/>
              </w:rPr>
              <w:t> </w:t>
            </w:r>
            <w:hyperlink r:id="rId13" w:history="1">
              <w:r w:rsidRPr="00004BEE">
                <w:rPr>
                  <w:rStyle w:val="Hyperlink"/>
                  <w:sz w:val="23"/>
                  <w:szCs w:val="23"/>
                  <w:bdr w:val="none" w:sz="0" w:space="0" w:color="auto" w:frame="1"/>
                </w:rPr>
                <w:t>Thomas Ingrassia</w:t>
              </w:r>
            </w:hyperlink>
            <w:r w:rsidRPr="00892D1E">
              <w:rPr>
                <w:sz w:val="23"/>
                <w:szCs w:val="23"/>
              </w:rPr>
              <w:t>, were selected for inclusion in The Best Lawyers in America® for 2017.  Mr. Pettit has been recognized for seven consecutive years and Mr. Ingrassia has been recognized for five consecutive years.</w:t>
            </w:r>
          </w:p>
          <w:p w:rsidR="00785085" w:rsidRPr="00892D1E" w:rsidRDefault="00785085" w:rsidP="00D07708">
            <w:pPr>
              <w:pStyle w:val="NormalWeb"/>
              <w:shd w:val="clear" w:color="auto" w:fill="FFFFFF"/>
              <w:spacing w:before="0" w:beforeAutospacing="0" w:after="0" w:afterAutospacing="0"/>
              <w:ind w:firstLine="720"/>
              <w:textAlignment w:val="baseline"/>
              <w:rPr>
                <w:sz w:val="23"/>
                <w:szCs w:val="23"/>
              </w:rPr>
            </w:pPr>
          </w:p>
          <w:p w:rsidR="00D07708" w:rsidRPr="00892D1E" w:rsidRDefault="00D07708" w:rsidP="00785085">
            <w:pPr>
              <w:pStyle w:val="NormalWeb"/>
              <w:shd w:val="clear" w:color="auto" w:fill="FFFFFF"/>
              <w:spacing w:before="0" w:beforeAutospacing="0" w:after="360" w:afterAutospacing="0"/>
              <w:ind w:firstLine="720"/>
              <w:textAlignment w:val="baseline"/>
              <w:rPr>
                <w:sz w:val="23"/>
                <w:szCs w:val="23"/>
              </w:rPr>
            </w:pPr>
            <w:r w:rsidRPr="00892D1E">
              <w:rPr>
                <w:sz w:val="23"/>
                <w:szCs w:val="23"/>
              </w:rPr>
              <w:t>U.S. News &amp; World Report is a digital news and information company that empowers people to make better, more informed decisions about important issues affecting their lives. Focusing on Education, Health, Personal Finance, Travel, Cars and News &amp; Opinion, USNews.com provides consumer advice, rankings, news and analysis to serve people making complex decisions throughout all stages of life. More than 37 million people visit USNews.com each month for research and guidance. Founded in 1933, U.S. News is headquartered in Washington, D.C.</w:t>
            </w:r>
          </w:p>
          <w:p w:rsidR="00892D1E" w:rsidRDefault="00D07708" w:rsidP="00785085">
            <w:pPr>
              <w:pStyle w:val="NormalWeb"/>
              <w:shd w:val="clear" w:color="auto" w:fill="FFFFFF"/>
              <w:spacing w:before="0" w:beforeAutospacing="0" w:after="360" w:afterAutospacing="0"/>
              <w:ind w:firstLine="720"/>
              <w:textAlignment w:val="baseline"/>
              <w:rPr>
                <w:sz w:val="23"/>
                <w:szCs w:val="23"/>
              </w:rPr>
            </w:pPr>
            <w:r w:rsidRPr="00892D1E">
              <w:rPr>
                <w:sz w:val="23"/>
                <w:szCs w:val="23"/>
              </w:rPr>
              <w:t>The complete 2017 “Best Law Firms” rankings can be found at</w:t>
            </w:r>
            <w:r w:rsidRPr="00892D1E">
              <w:rPr>
                <w:rStyle w:val="apple-converted-space"/>
                <w:sz w:val="23"/>
                <w:szCs w:val="23"/>
              </w:rPr>
              <w:t> </w:t>
            </w:r>
            <w:hyperlink r:id="rId14" w:history="1">
              <w:r w:rsidRPr="005650F1">
                <w:rPr>
                  <w:rStyle w:val="Hyperlink"/>
                  <w:sz w:val="23"/>
                  <w:szCs w:val="23"/>
                  <w:u w:val="none"/>
                  <w:bdr w:val="none" w:sz="0" w:space="0" w:color="auto" w:frame="1"/>
                </w:rPr>
                <w:t>http://bestlawfirms.usnews.com/</w:t>
              </w:r>
            </w:hyperlink>
            <w:r w:rsidRPr="00892D1E">
              <w:rPr>
                <w:rStyle w:val="apple-converted-space"/>
                <w:sz w:val="23"/>
                <w:szCs w:val="23"/>
              </w:rPr>
              <w:t> </w:t>
            </w:r>
            <w:r w:rsidRPr="00892D1E">
              <w:rPr>
                <w:sz w:val="23"/>
                <w:szCs w:val="23"/>
              </w:rPr>
              <w:t>and The Best Lawyers recognition can be found at</w:t>
            </w:r>
            <w:r w:rsidRPr="00892D1E">
              <w:rPr>
                <w:rStyle w:val="apple-converted-space"/>
                <w:sz w:val="23"/>
                <w:szCs w:val="23"/>
              </w:rPr>
              <w:t> </w:t>
            </w:r>
            <w:hyperlink r:id="rId15" w:history="1">
              <w:r w:rsidRPr="005650F1">
                <w:rPr>
                  <w:rStyle w:val="Hyperlink"/>
                  <w:sz w:val="23"/>
                  <w:szCs w:val="23"/>
                  <w:u w:val="none"/>
                  <w:bdr w:val="none" w:sz="0" w:space="0" w:color="auto" w:frame="1"/>
                </w:rPr>
                <w:t>https://www.bestlawyers.com/</w:t>
              </w:r>
            </w:hyperlink>
          </w:p>
          <w:p w:rsidR="00EC1A06" w:rsidRPr="008933E9" w:rsidRDefault="0067322E" w:rsidP="00892D1E">
            <w:pPr>
              <w:pStyle w:val="NormalWeb"/>
              <w:shd w:val="clear" w:color="auto" w:fill="FFFFFF"/>
              <w:spacing w:before="0" w:beforeAutospacing="0" w:after="360" w:afterAutospacing="0"/>
              <w:jc w:val="center"/>
              <w:textAlignment w:val="baseline"/>
              <w:rPr>
                <w:b/>
                <w:sz w:val="32"/>
                <w:szCs w:val="32"/>
                <w:u w:val="single"/>
              </w:rPr>
            </w:pPr>
            <w:r w:rsidRPr="008933E9">
              <w:rPr>
                <w:b/>
                <w:sz w:val="32"/>
                <w:szCs w:val="32"/>
                <w:u w:val="single"/>
              </w:rPr>
              <w:t>Firm Attorney Accomplishments</w:t>
            </w:r>
          </w:p>
          <w:p w:rsidR="00EC1A06" w:rsidRDefault="00055D07" w:rsidP="00BE2A5A">
            <w:pPr>
              <w:jc w:val="center"/>
              <w:rPr>
                <w:sz w:val="44"/>
                <w:szCs w:val="44"/>
              </w:rPr>
            </w:pPr>
            <w:r w:rsidRPr="00A67ADC">
              <w:rPr>
                <w:noProof/>
                <w:sz w:val="44"/>
                <w:szCs w:val="44"/>
              </w:rPr>
              <w:drawing>
                <wp:anchor distT="0" distB="0" distL="114300" distR="114300" simplePos="0" relativeHeight="251676160" behindDoc="1" locked="0" layoutInCell="1" allowOverlap="1">
                  <wp:simplePos x="0" y="0"/>
                  <wp:positionH relativeFrom="column">
                    <wp:posOffset>15240</wp:posOffset>
                  </wp:positionH>
                  <wp:positionV relativeFrom="paragraph">
                    <wp:posOffset>256540</wp:posOffset>
                  </wp:positionV>
                  <wp:extent cx="1905000" cy="1095375"/>
                  <wp:effectExtent l="0" t="0" r="0" b="9525"/>
                  <wp:wrapNone/>
                  <wp:docPr id="2" name="Picture 2" descr="P:\Marketing\Logo\Misc Company Logos\ABOTA\logo_a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Misc Company Logos\ABOTA\logo_abot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anchor>
              </w:drawing>
            </w:r>
            <w:r>
              <w:rPr>
                <w:noProof/>
              </w:rPr>
              <w:drawing>
                <wp:anchor distT="0" distB="0" distL="114300" distR="114300" simplePos="0" relativeHeight="251678208" behindDoc="1" locked="0" layoutInCell="1" allowOverlap="1">
                  <wp:simplePos x="0" y="0"/>
                  <wp:positionH relativeFrom="column">
                    <wp:posOffset>3590290</wp:posOffset>
                  </wp:positionH>
                  <wp:positionV relativeFrom="paragraph">
                    <wp:posOffset>132715</wp:posOffset>
                  </wp:positionV>
                  <wp:extent cx="1381125" cy="1228725"/>
                  <wp:effectExtent l="0" t="0" r="9525" b="9525"/>
                  <wp:wrapTight wrapText="bothSides">
                    <wp:wrapPolygon edited="0">
                      <wp:start x="0" y="0"/>
                      <wp:lineTo x="0" y="21433"/>
                      <wp:lineTo x="21451" y="21433"/>
                      <wp:lineTo x="214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125" cy="1228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2015490</wp:posOffset>
                  </wp:positionH>
                  <wp:positionV relativeFrom="paragraph">
                    <wp:posOffset>123190</wp:posOffset>
                  </wp:positionV>
                  <wp:extent cx="1272048" cy="1314450"/>
                  <wp:effectExtent l="0" t="0" r="4445" b="0"/>
                  <wp:wrapTight wrapText="bothSides">
                    <wp:wrapPolygon edited="0">
                      <wp:start x="0" y="0"/>
                      <wp:lineTo x="0" y="21287"/>
                      <wp:lineTo x="21352" y="21287"/>
                      <wp:lineTo x="21352" y="0"/>
                      <wp:lineTo x="0" y="0"/>
                    </wp:wrapPolygon>
                  </wp:wrapTight>
                  <wp:docPr id="11" name="Picture 11" descr="Image result for best lawy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t lawyer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2048" cy="1314450"/>
                          </a:xfrm>
                          <a:prstGeom prst="rect">
                            <a:avLst/>
                          </a:prstGeom>
                          <a:noFill/>
                          <a:ln>
                            <a:noFill/>
                          </a:ln>
                        </pic:spPr>
                      </pic:pic>
                    </a:graphicData>
                  </a:graphic>
                </wp:anchor>
              </w:drawing>
            </w:r>
          </w:p>
          <w:p w:rsidR="00EC1A06" w:rsidRDefault="00EC1A06" w:rsidP="00BE2A5A">
            <w:pPr>
              <w:jc w:val="center"/>
              <w:rPr>
                <w:sz w:val="44"/>
                <w:szCs w:val="44"/>
              </w:rPr>
            </w:pPr>
          </w:p>
          <w:p w:rsidR="00EC1A06" w:rsidRDefault="00EC1A06" w:rsidP="00BE2A5A">
            <w:pPr>
              <w:jc w:val="center"/>
              <w:rPr>
                <w:sz w:val="44"/>
                <w:szCs w:val="44"/>
              </w:rPr>
            </w:pPr>
          </w:p>
          <w:p w:rsidR="00EC1A06" w:rsidRDefault="00EC1A06" w:rsidP="00BE2A5A">
            <w:pPr>
              <w:jc w:val="center"/>
              <w:rPr>
                <w:sz w:val="44"/>
                <w:szCs w:val="44"/>
              </w:rPr>
            </w:pPr>
          </w:p>
          <w:p w:rsidR="00EC1A06" w:rsidRDefault="00055D07" w:rsidP="00AA3821">
            <w:pPr>
              <w:jc w:val="center"/>
              <w:rPr>
                <w:sz w:val="44"/>
                <w:szCs w:val="44"/>
              </w:rPr>
            </w:pPr>
            <w:r>
              <w:rPr>
                <w:noProof/>
              </w:rPr>
              <w:drawing>
                <wp:anchor distT="0" distB="0" distL="114300" distR="114300" simplePos="0" relativeHeight="251680256" behindDoc="1" locked="0" layoutInCell="1" allowOverlap="1">
                  <wp:simplePos x="0" y="0"/>
                  <wp:positionH relativeFrom="column">
                    <wp:posOffset>81915</wp:posOffset>
                  </wp:positionH>
                  <wp:positionV relativeFrom="paragraph">
                    <wp:posOffset>487045</wp:posOffset>
                  </wp:positionV>
                  <wp:extent cx="1732280" cy="1209675"/>
                  <wp:effectExtent l="0" t="0" r="1270" b="9525"/>
                  <wp:wrapTight wrapText="bothSides">
                    <wp:wrapPolygon edited="0">
                      <wp:start x="0" y="0"/>
                      <wp:lineTo x="0" y="21430"/>
                      <wp:lineTo x="21378" y="21430"/>
                      <wp:lineTo x="2137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32280" cy="1209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3568065</wp:posOffset>
                  </wp:positionH>
                  <wp:positionV relativeFrom="paragraph">
                    <wp:posOffset>577850</wp:posOffset>
                  </wp:positionV>
                  <wp:extent cx="1466850" cy="996950"/>
                  <wp:effectExtent l="0" t="0" r="0" b="0"/>
                  <wp:wrapTight wrapText="bothSides">
                    <wp:wrapPolygon edited="0">
                      <wp:start x="0" y="0"/>
                      <wp:lineTo x="0" y="21050"/>
                      <wp:lineTo x="21319" y="21050"/>
                      <wp:lineTo x="21319" y="0"/>
                      <wp:lineTo x="0" y="0"/>
                    </wp:wrapPolygon>
                  </wp:wrapTight>
                  <wp:docPr id="15" name="Picture 1" descr="http://pettitkohn.com/wp-content/uploads/2014/10/logo-award-021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titkohn.com/wp-content/uploads/2014/10/logo-award-0216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2044065</wp:posOffset>
                  </wp:positionH>
                  <wp:positionV relativeFrom="paragraph">
                    <wp:posOffset>401955</wp:posOffset>
                  </wp:positionV>
                  <wp:extent cx="1313815" cy="1372870"/>
                  <wp:effectExtent l="0" t="0" r="635" b="0"/>
                  <wp:wrapTight wrapText="bothSides">
                    <wp:wrapPolygon edited="0">
                      <wp:start x="0" y="0"/>
                      <wp:lineTo x="0" y="21280"/>
                      <wp:lineTo x="21297" y="21280"/>
                      <wp:lineTo x="21297" y="0"/>
                      <wp:lineTo x="0" y="0"/>
                    </wp:wrapPolygon>
                  </wp:wrapTight>
                  <wp:docPr id="13" name="Picture 1" descr="Image result for av 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 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3815"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A41" w:rsidRDefault="002D1A41" w:rsidP="002D1A41">
            <w:pPr>
              <w:rPr>
                <w:sz w:val="44"/>
                <w:szCs w:val="44"/>
              </w:rPr>
            </w:pPr>
          </w:p>
          <w:p w:rsidR="00375F8D" w:rsidRDefault="00375F8D" w:rsidP="002D1A41">
            <w:pPr>
              <w:rPr>
                <w:sz w:val="20"/>
                <w:szCs w:val="20"/>
              </w:rPr>
            </w:pPr>
          </w:p>
          <w:p w:rsidR="007A721C" w:rsidRDefault="007A721C" w:rsidP="002D1A41">
            <w:pPr>
              <w:rPr>
                <w:sz w:val="20"/>
                <w:szCs w:val="20"/>
              </w:rPr>
            </w:pPr>
          </w:p>
          <w:p w:rsidR="007A721C" w:rsidRPr="00375F8D" w:rsidRDefault="007A721C" w:rsidP="002D1A41">
            <w:pPr>
              <w:rPr>
                <w:sz w:val="20"/>
                <w:szCs w:val="20"/>
              </w:rPr>
            </w:pPr>
          </w:p>
          <w:p w:rsidR="007E4A79" w:rsidRPr="00D038E8" w:rsidRDefault="00D07708" w:rsidP="00892D1E">
            <w:pPr>
              <w:jc w:val="center"/>
              <w:rPr>
                <w:b/>
                <w:sz w:val="32"/>
                <w:szCs w:val="32"/>
                <w:u w:val="single"/>
              </w:rPr>
            </w:pPr>
            <w:r>
              <w:rPr>
                <w:b/>
                <w:sz w:val="32"/>
                <w:szCs w:val="32"/>
                <w:u w:val="single"/>
              </w:rPr>
              <w:lastRenderedPageBreak/>
              <w:t>T</w:t>
            </w:r>
            <w:r w:rsidR="006420B8" w:rsidRPr="00D038E8">
              <w:rPr>
                <w:b/>
                <w:sz w:val="32"/>
                <w:szCs w:val="32"/>
                <w:u w:val="single"/>
              </w:rPr>
              <w:t>eam Spotlight</w:t>
            </w:r>
          </w:p>
          <w:p w:rsidR="008F4A47" w:rsidRPr="00894F76" w:rsidRDefault="008F4A47" w:rsidP="008F4A47">
            <w:pPr>
              <w:ind w:firstLine="720"/>
              <w:rPr>
                <w:sz w:val="25"/>
                <w:szCs w:val="25"/>
              </w:rPr>
            </w:pPr>
          </w:p>
          <w:p w:rsidR="008F4A47" w:rsidRPr="00375F8D" w:rsidRDefault="008F4A47" w:rsidP="008F4A47">
            <w:pPr>
              <w:ind w:firstLine="720"/>
              <w:rPr>
                <w:sz w:val="23"/>
                <w:szCs w:val="23"/>
              </w:rPr>
            </w:pPr>
            <w:r w:rsidRPr="00375F8D">
              <w:rPr>
                <w:sz w:val="23"/>
                <w:szCs w:val="23"/>
              </w:rPr>
              <w:t xml:space="preserve">We will highlight a team member in each issue.  We start with Doug Pettit.  Doug is a founding member of the firm and chair of the </w:t>
            </w:r>
            <w:r w:rsidR="00D07708" w:rsidRPr="00375F8D">
              <w:rPr>
                <w:sz w:val="23"/>
                <w:szCs w:val="23"/>
              </w:rPr>
              <w:t xml:space="preserve">Professional Liability </w:t>
            </w:r>
            <w:r w:rsidRPr="00375F8D">
              <w:rPr>
                <w:sz w:val="23"/>
                <w:szCs w:val="23"/>
              </w:rPr>
              <w:t xml:space="preserve">department.  Super Lawyers identified him as one of the top ten lawyers in San Diego last year and Best Lawyers in America </w:t>
            </w:r>
            <w:r w:rsidR="00670F93">
              <w:rPr>
                <w:sz w:val="23"/>
                <w:szCs w:val="23"/>
              </w:rPr>
              <w:t>recognized</w:t>
            </w:r>
            <w:r w:rsidRPr="00375F8D">
              <w:rPr>
                <w:sz w:val="23"/>
                <w:szCs w:val="23"/>
              </w:rPr>
              <w:t xml:space="preserve"> him as the top legal malpractice attorney in San Diego two year</w:t>
            </w:r>
            <w:bookmarkStart w:id="0" w:name="_GoBack"/>
            <w:bookmarkEnd w:id="0"/>
            <w:r w:rsidRPr="00375F8D">
              <w:rPr>
                <w:sz w:val="23"/>
                <w:szCs w:val="23"/>
              </w:rPr>
              <w:t>s ago.</w:t>
            </w:r>
          </w:p>
          <w:p w:rsidR="008F4A47" w:rsidRDefault="008F4A47" w:rsidP="008F4A47">
            <w:pPr>
              <w:ind w:firstLine="720"/>
            </w:pPr>
          </w:p>
          <w:p w:rsidR="00427A86" w:rsidRPr="00D038E8" w:rsidRDefault="008F4A47" w:rsidP="00DA060E">
            <w:pPr>
              <w:jc w:val="center"/>
              <w:rPr>
                <w:sz w:val="32"/>
                <w:szCs w:val="32"/>
              </w:rPr>
            </w:pPr>
            <w:r w:rsidRPr="00D038E8">
              <w:rPr>
                <w:sz w:val="32"/>
                <w:szCs w:val="32"/>
              </w:rPr>
              <w:t>A Minute i</w:t>
            </w:r>
            <w:r w:rsidR="00BE2A5A" w:rsidRPr="00D038E8">
              <w:rPr>
                <w:sz w:val="32"/>
                <w:szCs w:val="32"/>
              </w:rPr>
              <w:t>n the Life Of</w:t>
            </w:r>
            <w:r w:rsidRPr="00D038E8">
              <w:rPr>
                <w:sz w:val="32"/>
                <w:szCs w:val="32"/>
              </w:rPr>
              <w:t>:</w:t>
            </w:r>
          </w:p>
          <w:p w:rsidR="00BE2A5A" w:rsidRPr="00D038E8" w:rsidRDefault="00BE2A5A" w:rsidP="00BE2A5A">
            <w:pPr>
              <w:jc w:val="center"/>
              <w:rPr>
                <w:b/>
                <w:sz w:val="32"/>
                <w:szCs w:val="32"/>
              </w:rPr>
            </w:pPr>
            <w:r w:rsidRPr="00D038E8">
              <w:rPr>
                <w:b/>
                <w:sz w:val="32"/>
                <w:szCs w:val="32"/>
              </w:rPr>
              <w:t>Doug</w:t>
            </w:r>
            <w:r w:rsidR="004A7F87" w:rsidRPr="00D038E8">
              <w:rPr>
                <w:b/>
                <w:sz w:val="32"/>
                <w:szCs w:val="32"/>
              </w:rPr>
              <w:t>las</w:t>
            </w:r>
            <w:r w:rsidRPr="00D038E8">
              <w:rPr>
                <w:b/>
                <w:sz w:val="32"/>
                <w:szCs w:val="32"/>
              </w:rPr>
              <w:t xml:space="preserve"> Pettit</w:t>
            </w:r>
          </w:p>
          <w:p w:rsidR="00BE2A5A" w:rsidRDefault="00892D1E" w:rsidP="00BE2A5A">
            <w:pPr>
              <w:jc w:val="center"/>
              <w:rPr>
                <w:sz w:val="36"/>
                <w:szCs w:val="36"/>
              </w:rPr>
            </w:pPr>
            <w:r w:rsidRPr="00C7798D">
              <w:rPr>
                <w:noProof/>
              </w:rPr>
              <w:drawing>
                <wp:anchor distT="0" distB="0" distL="114300" distR="114300" simplePos="0" relativeHeight="251673088" behindDoc="1" locked="0" layoutInCell="1" allowOverlap="1">
                  <wp:simplePos x="0" y="0"/>
                  <wp:positionH relativeFrom="column">
                    <wp:posOffset>2636520</wp:posOffset>
                  </wp:positionH>
                  <wp:positionV relativeFrom="paragraph">
                    <wp:posOffset>86995</wp:posOffset>
                  </wp:positionV>
                  <wp:extent cx="2416810" cy="3625968"/>
                  <wp:effectExtent l="19050" t="19050" r="21590" b="12700"/>
                  <wp:wrapTight wrapText="bothSides">
                    <wp:wrapPolygon edited="0">
                      <wp:start x="-170" y="-113"/>
                      <wp:lineTo x="-170" y="21562"/>
                      <wp:lineTo x="21623" y="21562"/>
                      <wp:lineTo x="21623" y="-113"/>
                      <wp:lineTo x="-170" y="-113"/>
                    </wp:wrapPolygon>
                  </wp:wrapTight>
                  <wp:docPr id="9" name="Picture 9" descr="P:\FIRM RESUMES\Staff Photos\Siobhan Photos-Use This\Douglas-Pettit-Photo-07-09-683x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RM RESUMES\Staff Photos\Siobhan Photos-Use This\Douglas-Pettit-Photo-07-09-683x102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6810" cy="3625968"/>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BE2A5A" w:rsidRPr="00892D1E" w:rsidRDefault="00400CB5" w:rsidP="00BE2A5A">
            <w:pPr>
              <w:rPr>
                <w:sz w:val="23"/>
                <w:szCs w:val="23"/>
              </w:rPr>
            </w:pPr>
            <w:r w:rsidRPr="00892D1E">
              <w:rPr>
                <w:b/>
                <w:sz w:val="23"/>
                <w:szCs w:val="23"/>
              </w:rPr>
              <w:t>Hometown</w:t>
            </w:r>
            <w:r w:rsidR="006E629C" w:rsidRPr="00892D1E">
              <w:rPr>
                <w:sz w:val="23"/>
                <w:szCs w:val="23"/>
              </w:rPr>
              <w:t xml:space="preserve">:  </w:t>
            </w:r>
            <w:r w:rsidRPr="00892D1E">
              <w:rPr>
                <w:sz w:val="23"/>
                <w:szCs w:val="23"/>
              </w:rPr>
              <w:t xml:space="preserve">New </w:t>
            </w:r>
            <w:r w:rsidR="00470D5D" w:rsidRPr="00892D1E">
              <w:rPr>
                <w:sz w:val="23"/>
                <w:szCs w:val="23"/>
              </w:rPr>
              <w:t>Cumberland</w:t>
            </w:r>
            <w:r w:rsidR="00BE2A5A" w:rsidRPr="00892D1E">
              <w:rPr>
                <w:sz w:val="23"/>
                <w:szCs w:val="23"/>
              </w:rPr>
              <w:t>, West Virginia</w:t>
            </w:r>
            <w:r w:rsidRPr="00892D1E">
              <w:rPr>
                <w:sz w:val="23"/>
                <w:szCs w:val="23"/>
              </w:rPr>
              <w:t xml:space="preserve"> (population: 1,200)</w:t>
            </w:r>
          </w:p>
          <w:p w:rsidR="00BE2A5A" w:rsidRPr="00892D1E" w:rsidRDefault="00BE2A5A" w:rsidP="00BE2A5A">
            <w:pPr>
              <w:rPr>
                <w:sz w:val="23"/>
                <w:szCs w:val="23"/>
              </w:rPr>
            </w:pPr>
          </w:p>
          <w:p w:rsidR="00BE2A5A" w:rsidRPr="00892D1E" w:rsidRDefault="00BE2A5A" w:rsidP="00BE2A5A">
            <w:pPr>
              <w:rPr>
                <w:sz w:val="23"/>
                <w:szCs w:val="23"/>
              </w:rPr>
            </w:pPr>
            <w:r w:rsidRPr="00892D1E">
              <w:rPr>
                <w:b/>
                <w:sz w:val="23"/>
                <w:szCs w:val="23"/>
              </w:rPr>
              <w:t>College:</w:t>
            </w:r>
            <w:r w:rsidR="006E629C" w:rsidRPr="00892D1E">
              <w:rPr>
                <w:sz w:val="23"/>
                <w:szCs w:val="23"/>
              </w:rPr>
              <w:t xml:space="preserve">  </w:t>
            </w:r>
            <w:r w:rsidRPr="00892D1E">
              <w:rPr>
                <w:sz w:val="23"/>
                <w:szCs w:val="23"/>
              </w:rPr>
              <w:t>Bethany College, West Virginia majoring in Economics</w:t>
            </w:r>
          </w:p>
          <w:p w:rsidR="006E629C" w:rsidRPr="00892D1E" w:rsidRDefault="006E629C" w:rsidP="00BE2A5A">
            <w:pPr>
              <w:rPr>
                <w:sz w:val="23"/>
                <w:szCs w:val="23"/>
              </w:rPr>
            </w:pPr>
          </w:p>
          <w:p w:rsidR="00BE2A5A" w:rsidRPr="00892D1E" w:rsidRDefault="00BE2A5A" w:rsidP="00BE2A5A">
            <w:pPr>
              <w:rPr>
                <w:sz w:val="23"/>
                <w:szCs w:val="23"/>
              </w:rPr>
            </w:pPr>
            <w:r w:rsidRPr="00892D1E">
              <w:rPr>
                <w:b/>
                <w:sz w:val="23"/>
                <w:szCs w:val="23"/>
              </w:rPr>
              <w:t>Law School:</w:t>
            </w:r>
            <w:r w:rsidR="006E629C" w:rsidRPr="00892D1E">
              <w:rPr>
                <w:sz w:val="23"/>
                <w:szCs w:val="23"/>
              </w:rPr>
              <w:t xml:space="preserve">  </w:t>
            </w:r>
            <w:r w:rsidRPr="00892D1E">
              <w:rPr>
                <w:sz w:val="23"/>
                <w:szCs w:val="23"/>
              </w:rPr>
              <w:t>Washington &amp; Lee University</w:t>
            </w:r>
          </w:p>
          <w:p w:rsidR="00BE2A5A" w:rsidRPr="00892D1E" w:rsidRDefault="00BE2A5A" w:rsidP="00BE2A5A">
            <w:pPr>
              <w:rPr>
                <w:sz w:val="23"/>
                <w:szCs w:val="23"/>
              </w:rPr>
            </w:pPr>
          </w:p>
          <w:p w:rsidR="00BE2A5A" w:rsidRPr="00892D1E" w:rsidRDefault="00BE2A5A" w:rsidP="00BE2A5A">
            <w:pPr>
              <w:rPr>
                <w:sz w:val="23"/>
                <w:szCs w:val="23"/>
              </w:rPr>
            </w:pPr>
            <w:r w:rsidRPr="00892D1E">
              <w:rPr>
                <w:b/>
                <w:sz w:val="23"/>
                <w:szCs w:val="23"/>
              </w:rPr>
              <w:t>Biggest trend in Professional Liability:</w:t>
            </w:r>
            <w:r w:rsidRPr="00892D1E">
              <w:rPr>
                <w:sz w:val="23"/>
                <w:szCs w:val="23"/>
              </w:rPr>
              <w:t xml:space="preserve">  The use of technology in the professional marketplace.  The speed and access o</w:t>
            </w:r>
            <w:r w:rsidR="00D07708" w:rsidRPr="00892D1E">
              <w:rPr>
                <w:sz w:val="23"/>
                <w:szCs w:val="23"/>
              </w:rPr>
              <w:t>f information arising from</w:t>
            </w:r>
            <w:r w:rsidRPr="00892D1E">
              <w:rPr>
                <w:sz w:val="23"/>
                <w:szCs w:val="23"/>
              </w:rPr>
              <w:t xml:space="preserve"> advancements in technology has provided both opportunity and </w:t>
            </w:r>
            <w:r w:rsidR="00D07708" w:rsidRPr="00892D1E">
              <w:rPr>
                <w:sz w:val="23"/>
                <w:szCs w:val="23"/>
              </w:rPr>
              <w:t>risks</w:t>
            </w:r>
            <w:r w:rsidRPr="00892D1E">
              <w:rPr>
                <w:sz w:val="23"/>
                <w:szCs w:val="23"/>
              </w:rPr>
              <w:t>.</w:t>
            </w:r>
            <w:r w:rsidR="00D07708" w:rsidRPr="00892D1E">
              <w:rPr>
                <w:sz w:val="23"/>
                <w:szCs w:val="23"/>
              </w:rPr>
              <w:t xml:space="preserve">  </w:t>
            </w:r>
            <w:r w:rsidR="00C30041">
              <w:rPr>
                <w:sz w:val="23"/>
                <w:szCs w:val="23"/>
              </w:rPr>
              <w:t>There are enhanced</w:t>
            </w:r>
            <w:r w:rsidR="00D07708" w:rsidRPr="00892D1E">
              <w:rPr>
                <w:sz w:val="23"/>
                <w:szCs w:val="23"/>
              </w:rPr>
              <w:t xml:space="preserve"> </w:t>
            </w:r>
            <w:r w:rsidR="00C30041">
              <w:rPr>
                <w:sz w:val="23"/>
                <w:szCs w:val="23"/>
              </w:rPr>
              <w:t>expectations of attorneys for electronic</w:t>
            </w:r>
            <w:r w:rsidR="00D07708" w:rsidRPr="00892D1E">
              <w:rPr>
                <w:sz w:val="23"/>
                <w:szCs w:val="23"/>
              </w:rPr>
              <w:t xml:space="preserve"> discovery, access to information, and </w:t>
            </w:r>
            <w:r w:rsidR="00C30041">
              <w:rPr>
                <w:sz w:val="23"/>
                <w:szCs w:val="23"/>
              </w:rPr>
              <w:t xml:space="preserve">speed of communications.  </w:t>
            </w:r>
            <w:r w:rsidR="004C3DAB">
              <w:rPr>
                <w:sz w:val="23"/>
                <w:szCs w:val="23"/>
              </w:rPr>
              <w:t xml:space="preserve">These communications are not always as well thought out.  </w:t>
            </w:r>
            <w:r w:rsidR="00D07708" w:rsidRPr="00892D1E">
              <w:rPr>
                <w:sz w:val="23"/>
                <w:szCs w:val="23"/>
              </w:rPr>
              <w:t xml:space="preserve">Also, </w:t>
            </w:r>
            <w:r w:rsidR="005650F1">
              <w:rPr>
                <w:sz w:val="23"/>
                <w:szCs w:val="23"/>
              </w:rPr>
              <w:t>h</w:t>
            </w:r>
            <w:r w:rsidR="00470D5D" w:rsidRPr="00892D1E">
              <w:rPr>
                <w:sz w:val="23"/>
                <w:szCs w:val="23"/>
              </w:rPr>
              <w:t>andling electron</w:t>
            </w:r>
            <w:r w:rsidR="008F4A47" w:rsidRPr="00892D1E">
              <w:rPr>
                <w:sz w:val="23"/>
                <w:szCs w:val="23"/>
              </w:rPr>
              <w:t>ic document discovery in a cost</w:t>
            </w:r>
            <w:r w:rsidR="00470D5D" w:rsidRPr="00892D1E">
              <w:rPr>
                <w:sz w:val="23"/>
                <w:szCs w:val="23"/>
              </w:rPr>
              <w:t xml:space="preserve"> effective manner is becoming an inherent part of </w:t>
            </w:r>
            <w:r w:rsidR="00D07708" w:rsidRPr="00892D1E">
              <w:rPr>
                <w:sz w:val="23"/>
                <w:szCs w:val="23"/>
              </w:rPr>
              <w:t>all</w:t>
            </w:r>
            <w:r w:rsidR="004C3DAB">
              <w:rPr>
                <w:sz w:val="23"/>
                <w:szCs w:val="23"/>
              </w:rPr>
              <w:t xml:space="preserve"> cases</w:t>
            </w:r>
            <w:r w:rsidR="00C30041">
              <w:rPr>
                <w:sz w:val="23"/>
                <w:szCs w:val="23"/>
              </w:rPr>
              <w:t>.</w:t>
            </w:r>
          </w:p>
          <w:p w:rsidR="00400CB5" w:rsidRPr="00892D1E" w:rsidRDefault="00400CB5" w:rsidP="00BE2A5A">
            <w:pPr>
              <w:rPr>
                <w:sz w:val="23"/>
                <w:szCs w:val="23"/>
              </w:rPr>
            </w:pPr>
          </w:p>
          <w:p w:rsidR="00400CB5" w:rsidRPr="00892D1E" w:rsidRDefault="00400CB5" w:rsidP="00BE2A5A">
            <w:pPr>
              <w:rPr>
                <w:sz w:val="23"/>
                <w:szCs w:val="23"/>
              </w:rPr>
            </w:pPr>
            <w:r w:rsidRPr="00892D1E">
              <w:rPr>
                <w:b/>
                <w:sz w:val="23"/>
                <w:szCs w:val="23"/>
              </w:rPr>
              <w:t>Most recent book read</w:t>
            </w:r>
            <w:r w:rsidR="008F4A47" w:rsidRPr="00892D1E">
              <w:rPr>
                <w:b/>
                <w:sz w:val="23"/>
                <w:szCs w:val="23"/>
              </w:rPr>
              <w:t xml:space="preserve">:  </w:t>
            </w:r>
            <w:r w:rsidR="00D07708" w:rsidRPr="00892D1E">
              <w:rPr>
                <w:b/>
                <w:sz w:val="23"/>
                <w:szCs w:val="23"/>
              </w:rPr>
              <w:t>“</w:t>
            </w:r>
            <w:r w:rsidR="00D07708" w:rsidRPr="00892D1E">
              <w:rPr>
                <w:sz w:val="23"/>
                <w:szCs w:val="23"/>
              </w:rPr>
              <w:t>A Man Called Ove” by Fredrik Backman</w:t>
            </w:r>
          </w:p>
          <w:p w:rsidR="00400CB5" w:rsidRPr="00892D1E" w:rsidRDefault="00400CB5" w:rsidP="00BE2A5A">
            <w:pPr>
              <w:rPr>
                <w:sz w:val="23"/>
                <w:szCs w:val="23"/>
              </w:rPr>
            </w:pPr>
          </w:p>
          <w:p w:rsidR="00400CB5" w:rsidRPr="00892D1E" w:rsidRDefault="00400CB5" w:rsidP="00BE2A5A">
            <w:pPr>
              <w:rPr>
                <w:sz w:val="23"/>
                <w:szCs w:val="23"/>
              </w:rPr>
            </w:pPr>
            <w:r w:rsidRPr="00892D1E">
              <w:rPr>
                <w:b/>
                <w:sz w:val="23"/>
                <w:szCs w:val="23"/>
              </w:rPr>
              <w:t>TV series currently watching:</w:t>
            </w:r>
            <w:r w:rsidRPr="00892D1E">
              <w:rPr>
                <w:sz w:val="23"/>
                <w:szCs w:val="23"/>
              </w:rPr>
              <w:t xml:space="preserve">  Longmire</w:t>
            </w:r>
          </w:p>
          <w:p w:rsidR="00BE2A5A" w:rsidRPr="00892D1E" w:rsidRDefault="00BE2A5A" w:rsidP="00BE2A5A">
            <w:pPr>
              <w:rPr>
                <w:sz w:val="23"/>
                <w:szCs w:val="23"/>
              </w:rPr>
            </w:pPr>
          </w:p>
          <w:p w:rsidR="00C7798D" w:rsidRPr="00892D1E" w:rsidRDefault="00BE2A5A" w:rsidP="00BE2A5A">
            <w:pPr>
              <w:rPr>
                <w:sz w:val="23"/>
                <w:szCs w:val="23"/>
              </w:rPr>
            </w:pPr>
            <w:r w:rsidRPr="00892D1E">
              <w:rPr>
                <w:b/>
                <w:sz w:val="23"/>
                <w:szCs w:val="23"/>
              </w:rPr>
              <w:t>Sport I most enjoy:</w:t>
            </w:r>
            <w:r w:rsidRPr="00892D1E">
              <w:rPr>
                <w:sz w:val="23"/>
                <w:szCs w:val="23"/>
              </w:rPr>
              <w:t xml:space="preserve">  To watch</w:t>
            </w:r>
            <w:r w:rsidR="00D10041" w:rsidRPr="00892D1E">
              <w:rPr>
                <w:sz w:val="23"/>
                <w:szCs w:val="23"/>
              </w:rPr>
              <w:t xml:space="preserve"> – s</w:t>
            </w:r>
            <w:r w:rsidRPr="00892D1E">
              <w:rPr>
                <w:sz w:val="23"/>
                <w:szCs w:val="23"/>
              </w:rPr>
              <w:t>occer.  To play – basketball (although the NBA still hasn’t returned any of my calls).</w:t>
            </w:r>
            <w:r w:rsidR="00892D1E" w:rsidRPr="00892D1E">
              <w:rPr>
                <w:sz w:val="23"/>
                <w:szCs w:val="23"/>
              </w:rPr>
              <w:t xml:space="preserve">  I am still waiting for the 5’9” and under professional league.</w:t>
            </w:r>
          </w:p>
          <w:p w:rsidR="00BE2A5A" w:rsidRPr="00892D1E" w:rsidRDefault="00BE2A5A" w:rsidP="00BE2A5A">
            <w:pPr>
              <w:rPr>
                <w:sz w:val="23"/>
                <w:szCs w:val="23"/>
              </w:rPr>
            </w:pPr>
          </w:p>
          <w:p w:rsidR="00175D4C" w:rsidRDefault="00BE2A5A" w:rsidP="00894F76">
            <w:pPr>
              <w:rPr>
                <w:sz w:val="23"/>
                <w:szCs w:val="23"/>
              </w:rPr>
            </w:pPr>
            <w:r w:rsidRPr="00892D1E">
              <w:rPr>
                <w:b/>
                <w:sz w:val="23"/>
                <w:szCs w:val="23"/>
              </w:rPr>
              <w:t>When I’m not practicing law I spend my time:</w:t>
            </w:r>
            <w:r w:rsidRPr="00892D1E">
              <w:rPr>
                <w:sz w:val="23"/>
                <w:szCs w:val="23"/>
              </w:rPr>
              <w:t xml:space="preserve">  Volunteering as a coach for my eighth grade son’s basketball team, </w:t>
            </w:r>
            <w:r w:rsidR="00400CB5" w:rsidRPr="00892D1E">
              <w:rPr>
                <w:sz w:val="23"/>
                <w:szCs w:val="23"/>
              </w:rPr>
              <w:t xml:space="preserve">and going on family hikes. </w:t>
            </w:r>
          </w:p>
          <w:p w:rsidR="00987D77" w:rsidRDefault="00987D77" w:rsidP="00427A86">
            <w:pPr>
              <w:tabs>
                <w:tab w:val="left" w:pos="2025"/>
              </w:tabs>
              <w:rPr>
                <w:rFonts w:ascii="Arial Narrow" w:hAnsi="Arial Narrow"/>
              </w:rPr>
            </w:pPr>
          </w:p>
          <w:p w:rsidR="00175D4C" w:rsidRDefault="00175D4C" w:rsidP="00427A86">
            <w:pPr>
              <w:tabs>
                <w:tab w:val="left" w:pos="2025"/>
              </w:tabs>
              <w:rPr>
                <w:rFonts w:ascii="Arial Narrow" w:hAnsi="Arial Narrow"/>
              </w:rPr>
            </w:pPr>
          </w:p>
          <w:p w:rsidR="004C3DAB" w:rsidRDefault="004C3DAB" w:rsidP="00427A86">
            <w:pPr>
              <w:tabs>
                <w:tab w:val="left" w:pos="2025"/>
              </w:tabs>
              <w:rPr>
                <w:rFonts w:ascii="Arial Narrow" w:hAnsi="Arial Narrow"/>
              </w:rPr>
            </w:pPr>
          </w:p>
          <w:p w:rsidR="00D038E8" w:rsidRDefault="00D038E8" w:rsidP="00427A86">
            <w:pPr>
              <w:tabs>
                <w:tab w:val="left" w:pos="2025"/>
              </w:tabs>
              <w:rPr>
                <w:rFonts w:ascii="Arial Narrow" w:hAnsi="Arial Narrow"/>
              </w:rPr>
            </w:pPr>
          </w:p>
          <w:p w:rsidR="00C30041" w:rsidRPr="0056388C" w:rsidRDefault="00C30041" w:rsidP="00427A86">
            <w:pPr>
              <w:tabs>
                <w:tab w:val="left" w:pos="2025"/>
              </w:tabs>
              <w:rPr>
                <w:rFonts w:ascii="Arial Narrow" w:hAnsi="Arial Narrow"/>
              </w:rPr>
            </w:pPr>
          </w:p>
          <w:p w:rsidR="00427A86" w:rsidRPr="0056388C" w:rsidRDefault="00481BD7" w:rsidP="00427A86">
            <w:pPr>
              <w:tabs>
                <w:tab w:val="left" w:pos="2025"/>
              </w:tabs>
              <w:rPr>
                <w:rFonts w:ascii="Arial Narrow" w:hAnsi="Arial Narrow"/>
                <w:sz w:val="72"/>
                <w:szCs w:val="72"/>
              </w:rPr>
            </w:pPr>
            <w:r>
              <w:rPr>
                <w:i/>
              </w:rPr>
              <w:t xml:space="preserve">             </w:t>
            </w:r>
            <w:r w:rsidRPr="00563294">
              <w:rPr>
                <w:i/>
              </w:rPr>
              <w:t xml:space="preserve">This is Pettit Kohn Ingrassia &amp; Lutz PC’s </w:t>
            </w:r>
            <w:r>
              <w:rPr>
                <w:i/>
              </w:rPr>
              <w:t xml:space="preserve">quarterly professional liability </w:t>
            </w:r>
            <w:r w:rsidRPr="00563294">
              <w:rPr>
                <w:i/>
              </w:rPr>
              <w:t xml:space="preserve">update publication.  If you would like more information regarding our firm, please contact </w:t>
            </w:r>
            <w:r>
              <w:rPr>
                <w:i/>
              </w:rPr>
              <w:t xml:space="preserve">Doug Pettit, </w:t>
            </w:r>
            <w:r w:rsidR="00573800">
              <w:rPr>
                <w:i/>
              </w:rPr>
              <w:t xml:space="preserve">Christina Bernstein, </w:t>
            </w:r>
            <w:r>
              <w:rPr>
                <w:i/>
              </w:rPr>
              <w:t>Jeff Miyamoto, V</w:t>
            </w:r>
            <w:r w:rsidR="00631A89">
              <w:rPr>
                <w:i/>
              </w:rPr>
              <w:t xml:space="preserve">alerie Garcia Hong, Matt Smith, </w:t>
            </w:r>
            <w:r w:rsidR="00546069">
              <w:rPr>
                <w:i/>
              </w:rPr>
              <w:t xml:space="preserve">Jennifer Hendricks, </w:t>
            </w:r>
            <w:r w:rsidR="009D4BBF">
              <w:rPr>
                <w:i/>
              </w:rPr>
              <w:t>Rada Feldman</w:t>
            </w:r>
            <w:r w:rsidR="00546069">
              <w:rPr>
                <w:i/>
              </w:rPr>
              <w:t xml:space="preserve">, Derek Noack, or Emily Arnett </w:t>
            </w:r>
            <w:r w:rsidRPr="00563294">
              <w:rPr>
                <w:i/>
              </w:rPr>
              <w:t xml:space="preserve">at </w:t>
            </w:r>
            <w:r w:rsidRPr="00CC44AD">
              <w:rPr>
                <w:b/>
                <w:i/>
              </w:rPr>
              <w:t>(858) 755-8500</w:t>
            </w:r>
            <w:r>
              <w:rPr>
                <w:i/>
              </w:rPr>
              <w:t>.</w:t>
            </w:r>
          </w:p>
        </w:tc>
      </w:tr>
    </w:tbl>
    <w:p w:rsidR="002655A6" w:rsidRDefault="002655A6" w:rsidP="007A721C"/>
    <w:sectPr w:rsidR="002655A6" w:rsidSect="0060379F">
      <w:pgSz w:w="12240" w:h="15840"/>
      <w:pgMar w:top="432"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FB" w:rsidRDefault="00A61FFB">
      <w:r>
        <w:separator/>
      </w:r>
    </w:p>
  </w:endnote>
  <w:endnote w:type="continuationSeparator" w:id="0">
    <w:p w:rsidR="00A61FFB" w:rsidRDefault="00A6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R MT">
    <w:altName w:val="Times New Roman"/>
    <w:charset w:val="00"/>
    <w:family w:val="auto"/>
    <w:pitch w:val="default"/>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FB" w:rsidRDefault="00A61FFB">
      <w:r>
        <w:separator/>
      </w:r>
    </w:p>
  </w:footnote>
  <w:footnote w:type="continuationSeparator" w:id="0">
    <w:p w:rsidR="00A61FFB" w:rsidRDefault="00A61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217"/>
    <w:multiLevelType w:val="hybridMultilevel"/>
    <w:tmpl w:val="429CE2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6892EBA"/>
    <w:multiLevelType w:val="hybridMultilevel"/>
    <w:tmpl w:val="92B22C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295ED1"/>
    <w:multiLevelType w:val="hybridMultilevel"/>
    <w:tmpl w:val="401AB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5018D"/>
    <w:multiLevelType w:val="multilevel"/>
    <w:tmpl w:val="B14A0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51DB7"/>
    <w:multiLevelType w:val="hybridMultilevel"/>
    <w:tmpl w:val="7042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17998"/>
    <w:multiLevelType w:val="hybridMultilevel"/>
    <w:tmpl w:val="088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74E2D"/>
    <w:multiLevelType w:val="hybridMultilevel"/>
    <w:tmpl w:val="C6A8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170D8"/>
    <w:multiLevelType w:val="multilevel"/>
    <w:tmpl w:val="E102B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916A22"/>
    <w:multiLevelType w:val="hybridMultilevel"/>
    <w:tmpl w:val="C1847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40B68"/>
    <w:multiLevelType w:val="hybridMultilevel"/>
    <w:tmpl w:val="89E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71949"/>
    <w:multiLevelType w:val="hybridMultilevel"/>
    <w:tmpl w:val="E3BC3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3C2BE2"/>
    <w:multiLevelType w:val="hybridMultilevel"/>
    <w:tmpl w:val="5242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FBA7372"/>
    <w:multiLevelType w:val="hybridMultilevel"/>
    <w:tmpl w:val="1292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A171AC"/>
    <w:multiLevelType w:val="multilevel"/>
    <w:tmpl w:val="2FFAF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B970EE"/>
    <w:multiLevelType w:val="hybridMultilevel"/>
    <w:tmpl w:val="31609D44"/>
    <w:lvl w:ilvl="0" w:tplc="653284E8">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53284E8">
      <w:start w:val="1"/>
      <w:numFmt w:val="bullet"/>
      <w:lvlText w:val=""/>
      <w:lvlJc w:val="left"/>
      <w:pPr>
        <w:tabs>
          <w:tab w:val="num" w:pos="1800"/>
        </w:tabs>
        <w:ind w:left="1800"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21107"/>
    <w:multiLevelType w:val="hybridMultilevel"/>
    <w:tmpl w:val="E7204260"/>
    <w:lvl w:ilvl="0" w:tplc="2CA4E412">
      <w:start w:val="1"/>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BD740A"/>
    <w:multiLevelType w:val="hybridMultilevel"/>
    <w:tmpl w:val="C8D6711E"/>
    <w:lvl w:ilvl="0" w:tplc="5A48009C">
      <w:start w:val="1"/>
      <w:numFmt w:val="decimal"/>
      <w:lvlText w:val="%1."/>
      <w:lvlJc w:val="left"/>
      <w:pPr>
        <w:tabs>
          <w:tab w:val="num" w:pos="1368"/>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90513AA"/>
    <w:multiLevelType w:val="hybridMultilevel"/>
    <w:tmpl w:val="1F0C8124"/>
    <w:lvl w:ilvl="0" w:tplc="655CF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882378"/>
    <w:multiLevelType w:val="hybridMultilevel"/>
    <w:tmpl w:val="B5A86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161B5E"/>
    <w:multiLevelType w:val="hybridMultilevel"/>
    <w:tmpl w:val="3104F2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E2A5BEE"/>
    <w:multiLevelType w:val="hybridMultilevel"/>
    <w:tmpl w:val="22E4DC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07723CE"/>
    <w:multiLevelType w:val="multilevel"/>
    <w:tmpl w:val="BC106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086A14"/>
    <w:multiLevelType w:val="hybridMultilevel"/>
    <w:tmpl w:val="9300E6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86B498C"/>
    <w:multiLevelType w:val="hybridMultilevel"/>
    <w:tmpl w:val="733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877B9"/>
    <w:multiLevelType w:val="hybridMultilevel"/>
    <w:tmpl w:val="66E28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E1AE5"/>
    <w:multiLevelType w:val="hybridMultilevel"/>
    <w:tmpl w:val="FDEE35C2"/>
    <w:lvl w:ilvl="0" w:tplc="07549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762AD"/>
    <w:multiLevelType w:val="multilevel"/>
    <w:tmpl w:val="A4CCB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86963AF"/>
    <w:multiLevelType w:val="hybridMultilevel"/>
    <w:tmpl w:val="1378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33EF5"/>
    <w:multiLevelType w:val="hybridMultilevel"/>
    <w:tmpl w:val="22383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8D2F14"/>
    <w:multiLevelType w:val="hybridMultilevel"/>
    <w:tmpl w:val="A0848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392781A"/>
    <w:multiLevelType w:val="hybridMultilevel"/>
    <w:tmpl w:val="927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C1AEE"/>
    <w:multiLevelType w:val="hybridMultilevel"/>
    <w:tmpl w:val="8B8A9AB4"/>
    <w:lvl w:ilvl="0" w:tplc="3DB26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C7DD0"/>
    <w:multiLevelType w:val="hybridMultilevel"/>
    <w:tmpl w:val="F382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3"/>
  </w:num>
  <w:num w:numId="9">
    <w:abstractNumId w:val="16"/>
  </w:num>
  <w:num w:numId="10">
    <w:abstractNumId w:val="2"/>
  </w:num>
  <w:num w:numId="11">
    <w:abstractNumId w:val="15"/>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28"/>
  </w:num>
  <w:num w:numId="16">
    <w:abstractNumId w:val="10"/>
  </w:num>
  <w:num w:numId="17">
    <w:abstractNumId w:val="25"/>
  </w:num>
  <w:num w:numId="18">
    <w:abstractNumId w:val="31"/>
  </w:num>
  <w:num w:numId="19">
    <w:abstractNumId w:val="5"/>
  </w:num>
  <w:num w:numId="20">
    <w:abstractNumId w:val="4"/>
  </w:num>
  <w:num w:numId="21">
    <w:abstractNumId w:val="1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6"/>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18"/>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51"/>
    <w:rsid w:val="00001926"/>
    <w:rsid w:val="000019AF"/>
    <w:rsid w:val="0000473F"/>
    <w:rsid w:val="00004BEE"/>
    <w:rsid w:val="00004FC6"/>
    <w:rsid w:val="00006F31"/>
    <w:rsid w:val="0001057B"/>
    <w:rsid w:val="00010E18"/>
    <w:rsid w:val="00011697"/>
    <w:rsid w:val="00011F43"/>
    <w:rsid w:val="000128CE"/>
    <w:rsid w:val="00013993"/>
    <w:rsid w:val="00014063"/>
    <w:rsid w:val="00014648"/>
    <w:rsid w:val="000172CF"/>
    <w:rsid w:val="000201DD"/>
    <w:rsid w:val="00020575"/>
    <w:rsid w:val="00023C4C"/>
    <w:rsid w:val="00025D81"/>
    <w:rsid w:val="0002685A"/>
    <w:rsid w:val="00033329"/>
    <w:rsid w:val="00035DB0"/>
    <w:rsid w:val="0003775C"/>
    <w:rsid w:val="00042165"/>
    <w:rsid w:val="0004309C"/>
    <w:rsid w:val="000434EF"/>
    <w:rsid w:val="00043B19"/>
    <w:rsid w:val="00043B85"/>
    <w:rsid w:val="00044921"/>
    <w:rsid w:val="00045EA2"/>
    <w:rsid w:val="00046AF1"/>
    <w:rsid w:val="00046AF5"/>
    <w:rsid w:val="000537D0"/>
    <w:rsid w:val="00055D07"/>
    <w:rsid w:val="00060D17"/>
    <w:rsid w:val="00061D5B"/>
    <w:rsid w:val="00062CF4"/>
    <w:rsid w:val="000632A7"/>
    <w:rsid w:val="000649CA"/>
    <w:rsid w:val="0006707D"/>
    <w:rsid w:val="000702BE"/>
    <w:rsid w:val="00073E51"/>
    <w:rsid w:val="0007466D"/>
    <w:rsid w:val="00074C6D"/>
    <w:rsid w:val="000754D8"/>
    <w:rsid w:val="00075ECF"/>
    <w:rsid w:val="000764A9"/>
    <w:rsid w:val="000822D9"/>
    <w:rsid w:val="000835B1"/>
    <w:rsid w:val="00084250"/>
    <w:rsid w:val="00086509"/>
    <w:rsid w:val="00091DF8"/>
    <w:rsid w:val="00093C02"/>
    <w:rsid w:val="00093E5D"/>
    <w:rsid w:val="00094DA1"/>
    <w:rsid w:val="000955A4"/>
    <w:rsid w:val="000977C1"/>
    <w:rsid w:val="000A0423"/>
    <w:rsid w:val="000A28BD"/>
    <w:rsid w:val="000A329C"/>
    <w:rsid w:val="000A3469"/>
    <w:rsid w:val="000A39B4"/>
    <w:rsid w:val="000A4F9C"/>
    <w:rsid w:val="000B247F"/>
    <w:rsid w:val="000B28F2"/>
    <w:rsid w:val="000B2D0A"/>
    <w:rsid w:val="000B2D5B"/>
    <w:rsid w:val="000B3631"/>
    <w:rsid w:val="000B470A"/>
    <w:rsid w:val="000B5088"/>
    <w:rsid w:val="000B6CD7"/>
    <w:rsid w:val="000B76B9"/>
    <w:rsid w:val="000C0429"/>
    <w:rsid w:val="000C0FC9"/>
    <w:rsid w:val="000C19C0"/>
    <w:rsid w:val="000C2933"/>
    <w:rsid w:val="000C38CB"/>
    <w:rsid w:val="000C407F"/>
    <w:rsid w:val="000C447D"/>
    <w:rsid w:val="000C58D4"/>
    <w:rsid w:val="000C61A3"/>
    <w:rsid w:val="000C79B3"/>
    <w:rsid w:val="000D22B0"/>
    <w:rsid w:val="000D257B"/>
    <w:rsid w:val="000D37C9"/>
    <w:rsid w:val="000D5A91"/>
    <w:rsid w:val="000D6146"/>
    <w:rsid w:val="000D6E32"/>
    <w:rsid w:val="000D7673"/>
    <w:rsid w:val="000D77F5"/>
    <w:rsid w:val="000E0CE3"/>
    <w:rsid w:val="000E2132"/>
    <w:rsid w:val="000E2E3B"/>
    <w:rsid w:val="000E5EF7"/>
    <w:rsid w:val="000E5FAE"/>
    <w:rsid w:val="000E71B3"/>
    <w:rsid w:val="000F187E"/>
    <w:rsid w:val="000F1D3D"/>
    <w:rsid w:val="000F2673"/>
    <w:rsid w:val="000F3179"/>
    <w:rsid w:val="000F4550"/>
    <w:rsid w:val="000F5CB5"/>
    <w:rsid w:val="000F5D47"/>
    <w:rsid w:val="000F7C62"/>
    <w:rsid w:val="000F7E8F"/>
    <w:rsid w:val="00101B87"/>
    <w:rsid w:val="00101E32"/>
    <w:rsid w:val="00102D67"/>
    <w:rsid w:val="00104D42"/>
    <w:rsid w:val="00106547"/>
    <w:rsid w:val="00110AAC"/>
    <w:rsid w:val="001116A4"/>
    <w:rsid w:val="00113476"/>
    <w:rsid w:val="00113551"/>
    <w:rsid w:val="00113760"/>
    <w:rsid w:val="00113E3C"/>
    <w:rsid w:val="00115470"/>
    <w:rsid w:val="00115BDC"/>
    <w:rsid w:val="001164CB"/>
    <w:rsid w:val="001167CB"/>
    <w:rsid w:val="00116FAC"/>
    <w:rsid w:val="001178B7"/>
    <w:rsid w:val="0011790C"/>
    <w:rsid w:val="00122872"/>
    <w:rsid w:val="00124315"/>
    <w:rsid w:val="00125095"/>
    <w:rsid w:val="00125AB6"/>
    <w:rsid w:val="00126196"/>
    <w:rsid w:val="001269E8"/>
    <w:rsid w:val="00131358"/>
    <w:rsid w:val="0013201A"/>
    <w:rsid w:val="00132435"/>
    <w:rsid w:val="00132ACD"/>
    <w:rsid w:val="001332DE"/>
    <w:rsid w:val="001359C1"/>
    <w:rsid w:val="0013685F"/>
    <w:rsid w:val="00140C68"/>
    <w:rsid w:val="00143BF9"/>
    <w:rsid w:val="00144A27"/>
    <w:rsid w:val="0014519A"/>
    <w:rsid w:val="00146132"/>
    <w:rsid w:val="00146DCC"/>
    <w:rsid w:val="00147AE1"/>
    <w:rsid w:val="00147E10"/>
    <w:rsid w:val="001500B0"/>
    <w:rsid w:val="00151631"/>
    <w:rsid w:val="00153F24"/>
    <w:rsid w:val="0015431A"/>
    <w:rsid w:val="00156025"/>
    <w:rsid w:val="0015723D"/>
    <w:rsid w:val="00157804"/>
    <w:rsid w:val="001579DA"/>
    <w:rsid w:val="001607C2"/>
    <w:rsid w:val="00160CE2"/>
    <w:rsid w:val="00161E8E"/>
    <w:rsid w:val="001634D3"/>
    <w:rsid w:val="0016412F"/>
    <w:rsid w:val="0016685D"/>
    <w:rsid w:val="00167808"/>
    <w:rsid w:val="00170BD3"/>
    <w:rsid w:val="00170F14"/>
    <w:rsid w:val="00172E32"/>
    <w:rsid w:val="00173255"/>
    <w:rsid w:val="00174916"/>
    <w:rsid w:val="00175D4C"/>
    <w:rsid w:val="00175F16"/>
    <w:rsid w:val="00180E35"/>
    <w:rsid w:val="00180EA0"/>
    <w:rsid w:val="00181194"/>
    <w:rsid w:val="00182103"/>
    <w:rsid w:val="0018249F"/>
    <w:rsid w:val="001842C2"/>
    <w:rsid w:val="001849C8"/>
    <w:rsid w:val="00187162"/>
    <w:rsid w:val="0019087C"/>
    <w:rsid w:val="001925FE"/>
    <w:rsid w:val="00194099"/>
    <w:rsid w:val="00194150"/>
    <w:rsid w:val="0019538C"/>
    <w:rsid w:val="00195B79"/>
    <w:rsid w:val="00196AA6"/>
    <w:rsid w:val="00196E62"/>
    <w:rsid w:val="001A0685"/>
    <w:rsid w:val="001A21D2"/>
    <w:rsid w:val="001A3FE2"/>
    <w:rsid w:val="001A4493"/>
    <w:rsid w:val="001A65BE"/>
    <w:rsid w:val="001A67E2"/>
    <w:rsid w:val="001A68B7"/>
    <w:rsid w:val="001A7E79"/>
    <w:rsid w:val="001B0D6F"/>
    <w:rsid w:val="001B5BC7"/>
    <w:rsid w:val="001C239A"/>
    <w:rsid w:val="001C2935"/>
    <w:rsid w:val="001C7EFB"/>
    <w:rsid w:val="001D0BF2"/>
    <w:rsid w:val="001D39C3"/>
    <w:rsid w:val="001D39FD"/>
    <w:rsid w:val="001D4564"/>
    <w:rsid w:val="001D503E"/>
    <w:rsid w:val="001D55D1"/>
    <w:rsid w:val="001D6559"/>
    <w:rsid w:val="001D7CD8"/>
    <w:rsid w:val="001E0BFE"/>
    <w:rsid w:val="001E589E"/>
    <w:rsid w:val="001E6349"/>
    <w:rsid w:val="001E6D6C"/>
    <w:rsid w:val="001E70B6"/>
    <w:rsid w:val="001E7DC9"/>
    <w:rsid w:val="001E7DFF"/>
    <w:rsid w:val="001E7E62"/>
    <w:rsid w:val="001F061B"/>
    <w:rsid w:val="001F1645"/>
    <w:rsid w:val="001F17EA"/>
    <w:rsid w:val="001F2648"/>
    <w:rsid w:val="001F2FA7"/>
    <w:rsid w:val="001F3B19"/>
    <w:rsid w:val="001F3DA4"/>
    <w:rsid w:val="001F4034"/>
    <w:rsid w:val="001F42F6"/>
    <w:rsid w:val="001F5EB8"/>
    <w:rsid w:val="001F6C82"/>
    <w:rsid w:val="001F6DFE"/>
    <w:rsid w:val="001F7392"/>
    <w:rsid w:val="00200310"/>
    <w:rsid w:val="0020126D"/>
    <w:rsid w:val="00201D4C"/>
    <w:rsid w:val="00201F23"/>
    <w:rsid w:val="00203BDE"/>
    <w:rsid w:val="00204D53"/>
    <w:rsid w:val="002062E5"/>
    <w:rsid w:val="0020674D"/>
    <w:rsid w:val="0021050E"/>
    <w:rsid w:val="002110BD"/>
    <w:rsid w:val="002111D8"/>
    <w:rsid w:val="00211CF9"/>
    <w:rsid w:val="00211FC7"/>
    <w:rsid w:val="00213BA6"/>
    <w:rsid w:val="00215D57"/>
    <w:rsid w:val="00216213"/>
    <w:rsid w:val="00217442"/>
    <w:rsid w:val="002201D6"/>
    <w:rsid w:val="0022067D"/>
    <w:rsid w:val="002206BF"/>
    <w:rsid w:val="00221457"/>
    <w:rsid w:val="00221C66"/>
    <w:rsid w:val="00222379"/>
    <w:rsid w:val="002227DB"/>
    <w:rsid w:val="002232FC"/>
    <w:rsid w:val="00223AF3"/>
    <w:rsid w:val="00223F10"/>
    <w:rsid w:val="002248C3"/>
    <w:rsid w:val="002258CF"/>
    <w:rsid w:val="00225B84"/>
    <w:rsid w:val="0023050F"/>
    <w:rsid w:val="00230708"/>
    <w:rsid w:val="00230900"/>
    <w:rsid w:val="00231900"/>
    <w:rsid w:val="002325A1"/>
    <w:rsid w:val="00232C93"/>
    <w:rsid w:val="00233018"/>
    <w:rsid w:val="002332A7"/>
    <w:rsid w:val="002339CF"/>
    <w:rsid w:val="00234B0D"/>
    <w:rsid w:val="002351D3"/>
    <w:rsid w:val="00235970"/>
    <w:rsid w:val="00235CF7"/>
    <w:rsid w:val="002364E3"/>
    <w:rsid w:val="00240456"/>
    <w:rsid w:val="0024146C"/>
    <w:rsid w:val="00241E5C"/>
    <w:rsid w:val="00244B75"/>
    <w:rsid w:val="00245174"/>
    <w:rsid w:val="00245F41"/>
    <w:rsid w:val="00245FBB"/>
    <w:rsid w:val="00246487"/>
    <w:rsid w:val="002472EC"/>
    <w:rsid w:val="00247305"/>
    <w:rsid w:val="00250ABD"/>
    <w:rsid w:val="00251117"/>
    <w:rsid w:val="002539D9"/>
    <w:rsid w:val="00253ABA"/>
    <w:rsid w:val="00253E48"/>
    <w:rsid w:val="002551E6"/>
    <w:rsid w:val="00257849"/>
    <w:rsid w:val="00257B15"/>
    <w:rsid w:val="00260143"/>
    <w:rsid w:val="002606E8"/>
    <w:rsid w:val="00262205"/>
    <w:rsid w:val="00263F41"/>
    <w:rsid w:val="00264380"/>
    <w:rsid w:val="002655A6"/>
    <w:rsid w:val="00265A0C"/>
    <w:rsid w:val="002664D4"/>
    <w:rsid w:val="00267BFD"/>
    <w:rsid w:val="0027165C"/>
    <w:rsid w:val="00271E29"/>
    <w:rsid w:val="00273242"/>
    <w:rsid w:val="0027444B"/>
    <w:rsid w:val="00276B3D"/>
    <w:rsid w:val="00280C0D"/>
    <w:rsid w:val="002820AA"/>
    <w:rsid w:val="0028325B"/>
    <w:rsid w:val="0028355F"/>
    <w:rsid w:val="002851B2"/>
    <w:rsid w:val="00286FD9"/>
    <w:rsid w:val="0028719B"/>
    <w:rsid w:val="00291D87"/>
    <w:rsid w:val="00291DC3"/>
    <w:rsid w:val="00292D2A"/>
    <w:rsid w:val="002941DD"/>
    <w:rsid w:val="002947C3"/>
    <w:rsid w:val="00294AF2"/>
    <w:rsid w:val="002957C9"/>
    <w:rsid w:val="002A1A11"/>
    <w:rsid w:val="002A2BA8"/>
    <w:rsid w:val="002A33B8"/>
    <w:rsid w:val="002A43A6"/>
    <w:rsid w:val="002A446A"/>
    <w:rsid w:val="002A7E77"/>
    <w:rsid w:val="002B0633"/>
    <w:rsid w:val="002B2AF0"/>
    <w:rsid w:val="002B5173"/>
    <w:rsid w:val="002B6A68"/>
    <w:rsid w:val="002B7B9C"/>
    <w:rsid w:val="002C0EA4"/>
    <w:rsid w:val="002C0EFE"/>
    <w:rsid w:val="002C1EDF"/>
    <w:rsid w:val="002C2209"/>
    <w:rsid w:val="002C2CDC"/>
    <w:rsid w:val="002C2E87"/>
    <w:rsid w:val="002C39A7"/>
    <w:rsid w:val="002C4066"/>
    <w:rsid w:val="002C41C3"/>
    <w:rsid w:val="002C429D"/>
    <w:rsid w:val="002C4845"/>
    <w:rsid w:val="002C4E6A"/>
    <w:rsid w:val="002C5466"/>
    <w:rsid w:val="002C5CBE"/>
    <w:rsid w:val="002C6555"/>
    <w:rsid w:val="002D0FE8"/>
    <w:rsid w:val="002D1A41"/>
    <w:rsid w:val="002D2706"/>
    <w:rsid w:val="002D2AE8"/>
    <w:rsid w:val="002D4177"/>
    <w:rsid w:val="002D4414"/>
    <w:rsid w:val="002D4B46"/>
    <w:rsid w:val="002D574B"/>
    <w:rsid w:val="002D6B4B"/>
    <w:rsid w:val="002D6B4E"/>
    <w:rsid w:val="002D72CC"/>
    <w:rsid w:val="002E110C"/>
    <w:rsid w:val="002E1D4F"/>
    <w:rsid w:val="002E3544"/>
    <w:rsid w:val="002E3CFD"/>
    <w:rsid w:val="002E460C"/>
    <w:rsid w:val="002E48F9"/>
    <w:rsid w:val="002E5626"/>
    <w:rsid w:val="002E6DBD"/>
    <w:rsid w:val="002E6FE9"/>
    <w:rsid w:val="002F3309"/>
    <w:rsid w:val="002F4AA4"/>
    <w:rsid w:val="002F4CEE"/>
    <w:rsid w:val="002F5913"/>
    <w:rsid w:val="002F5F31"/>
    <w:rsid w:val="002F651E"/>
    <w:rsid w:val="00302C0E"/>
    <w:rsid w:val="003033C5"/>
    <w:rsid w:val="00303F49"/>
    <w:rsid w:val="00304344"/>
    <w:rsid w:val="00310B16"/>
    <w:rsid w:val="003113D1"/>
    <w:rsid w:val="003121D3"/>
    <w:rsid w:val="003128EE"/>
    <w:rsid w:val="003129C5"/>
    <w:rsid w:val="003148DE"/>
    <w:rsid w:val="00315F0B"/>
    <w:rsid w:val="003200FC"/>
    <w:rsid w:val="00320ED2"/>
    <w:rsid w:val="00321326"/>
    <w:rsid w:val="003234E8"/>
    <w:rsid w:val="00324381"/>
    <w:rsid w:val="00324AE0"/>
    <w:rsid w:val="00324BA7"/>
    <w:rsid w:val="00326C48"/>
    <w:rsid w:val="00327811"/>
    <w:rsid w:val="00331A9C"/>
    <w:rsid w:val="00332A1B"/>
    <w:rsid w:val="00333265"/>
    <w:rsid w:val="00333483"/>
    <w:rsid w:val="003334A2"/>
    <w:rsid w:val="0034186D"/>
    <w:rsid w:val="003437ED"/>
    <w:rsid w:val="0034620B"/>
    <w:rsid w:val="00346E35"/>
    <w:rsid w:val="0034790B"/>
    <w:rsid w:val="00350963"/>
    <w:rsid w:val="00350F79"/>
    <w:rsid w:val="00356A97"/>
    <w:rsid w:val="00360232"/>
    <w:rsid w:val="00360824"/>
    <w:rsid w:val="00361732"/>
    <w:rsid w:val="0036176E"/>
    <w:rsid w:val="0036212C"/>
    <w:rsid w:val="00362A90"/>
    <w:rsid w:val="0036334A"/>
    <w:rsid w:val="00364662"/>
    <w:rsid w:val="003648C0"/>
    <w:rsid w:val="00366B94"/>
    <w:rsid w:val="00367473"/>
    <w:rsid w:val="00367BAE"/>
    <w:rsid w:val="0037093F"/>
    <w:rsid w:val="003716A1"/>
    <w:rsid w:val="003719C5"/>
    <w:rsid w:val="00372521"/>
    <w:rsid w:val="003749F2"/>
    <w:rsid w:val="00375DDE"/>
    <w:rsid w:val="00375F8D"/>
    <w:rsid w:val="0037745A"/>
    <w:rsid w:val="003774FF"/>
    <w:rsid w:val="00377EEC"/>
    <w:rsid w:val="00382F3F"/>
    <w:rsid w:val="00383350"/>
    <w:rsid w:val="003874E3"/>
    <w:rsid w:val="00391C1D"/>
    <w:rsid w:val="00391EDB"/>
    <w:rsid w:val="003927F5"/>
    <w:rsid w:val="00392F4F"/>
    <w:rsid w:val="00393289"/>
    <w:rsid w:val="00394007"/>
    <w:rsid w:val="00394AA6"/>
    <w:rsid w:val="003A0CD5"/>
    <w:rsid w:val="003A15B4"/>
    <w:rsid w:val="003A2139"/>
    <w:rsid w:val="003A23B4"/>
    <w:rsid w:val="003A4237"/>
    <w:rsid w:val="003A4989"/>
    <w:rsid w:val="003A695C"/>
    <w:rsid w:val="003B145D"/>
    <w:rsid w:val="003B5890"/>
    <w:rsid w:val="003B782D"/>
    <w:rsid w:val="003C0504"/>
    <w:rsid w:val="003C17B6"/>
    <w:rsid w:val="003C322E"/>
    <w:rsid w:val="003C3711"/>
    <w:rsid w:val="003C3DAA"/>
    <w:rsid w:val="003C49AD"/>
    <w:rsid w:val="003C4A42"/>
    <w:rsid w:val="003C4FC2"/>
    <w:rsid w:val="003C52CC"/>
    <w:rsid w:val="003C60D1"/>
    <w:rsid w:val="003C741B"/>
    <w:rsid w:val="003C7EC6"/>
    <w:rsid w:val="003D1AF5"/>
    <w:rsid w:val="003D32C7"/>
    <w:rsid w:val="003D36F2"/>
    <w:rsid w:val="003D3F51"/>
    <w:rsid w:val="003D59CF"/>
    <w:rsid w:val="003D691B"/>
    <w:rsid w:val="003E24CA"/>
    <w:rsid w:val="003E2F68"/>
    <w:rsid w:val="003E460F"/>
    <w:rsid w:val="003E5344"/>
    <w:rsid w:val="003E70E7"/>
    <w:rsid w:val="003E7BFA"/>
    <w:rsid w:val="003F08F3"/>
    <w:rsid w:val="003F2514"/>
    <w:rsid w:val="003F2EF6"/>
    <w:rsid w:val="003F4140"/>
    <w:rsid w:val="003F42E7"/>
    <w:rsid w:val="003F4D52"/>
    <w:rsid w:val="003F5B9E"/>
    <w:rsid w:val="003F69A5"/>
    <w:rsid w:val="0040099C"/>
    <w:rsid w:val="00400A63"/>
    <w:rsid w:val="00400CB5"/>
    <w:rsid w:val="00401109"/>
    <w:rsid w:val="004020D2"/>
    <w:rsid w:val="00402232"/>
    <w:rsid w:val="004041F7"/>
    <w:rsid w:val="00404E48"/>
    <w:rsid w:val="00405D13"/>
    <w:rsid w:val="0040696A"/>
    <w:rsid w:val="004108AD"/>
    <w:rsid w:val="00411AE3"/>
    <w:rsid w:val="0041209B"/>
    <w:rsid w:val="00412C4C"/>
    <w:rsid w:val="0041415F"/>
    <w:rsid w:val="004153BD"/>
    <w:rsid w:val="0041775A"/>
    <w:rsid w:val="0042050C"/>
    <w:rsid w:val="00421563"/>
    <w:rsid w:val="00422FB0"/>
    <w:rsid w:val="0042392D"/>
    <w:rsid w:val="00424690"/>
    <w:rsid w:val="004249A6"/>
    <w:rsid w:val="00427A86"/>
    <w:rsid w:val="00430531"/>
    <w:rsid w:val="00431D3F"/>
    <w:rsid w:val="00432074"/>
    <w:rsid w:val="00433583"/>
    <w:rsid w:val="00434C26"/>
    <w:rsid w:val="00434DA0"/>
    <w:rsid w:val="004400E2"/>
    <w:rsid w:val="00441942"/>
    <w:rsid w:val="0044559A"/>
    <w:rsid w:val="0044750A"/>
    <w:rsid w:val="0045112A"/>
    <w:rsid w:val="00451B66"/>
    <w:rsid w:val="00451BEE"/>
    <w:rsid w:val="00453A43"/>
    <w:rsid w:val="00454B4B"/>
    <w:rsid w:val="00460AA9"/>
    <w:rsid w:val="00462FA1"/>
    <w:rsid w:val="00463522"/>
    <w:rsid w:val="0046361A"/>
    <w:rsid w:val="00463647"/>
    <w:rsid w:val="00465509"/>
    <w:rsid w:val="00466C39"/>
    <w:rsid w:val="00470D5D"/>
    <w:rsid w:val="00471233"/>
    <w:rsid w:val="004718DE"/>
    <w:rsid w:val="0047358D"/>
    <w:rsid w:val="00476896"/>
    <w:rsid w:val="00476B19"/>
    <w:rsid w:val="00480487"/>
    <w:rsid w:val="0048095C"/>
    <w:rsid w:val="00480A16"/>
    <w:rsid w:val="00480A8C"/>
    <w:rsid w:val="00480E69"/>
    <w:rsid w:val="00481BD7"/>
    <w:rsid w:val="0048250E"/>
    <w:rsid w:val="0048297F"/>
    <w:rsid w:val="00486729"/>
    <w:rsid w:val="004918EC"/>
    <w:rsid w:val="0049200F"/>
    <w:rsid w:val="0049300D"/>
    <w:rsid w:val="00496C08"/>
    <w:rsid w:val="00497FF8"/>
    <w:rsid w:val="004A0F84"/>
    <w:rsid w:val="004A14AE"/>
    <w:rsid w:val="004A159A"/>
    <w:rsid w:val="004A2014"/>
    <w:rsid w:val="004A23BD"/>
    <w:rsid w:val="004A4576"/>
    <w:rsid w:val="004A4C70"/>
    <w:rsid w:val="004A5EB5"/>
    <w:rsid w:val="004A66B4"/>
    <w:rsid w:val="004A7F87"/>
    <w:rsid w:val="004B3CAD"/>
    <w:rsid w:val="004B47C1"/>
    <w:rsid w:val="004B5B4E"/>
    <w:rsid w:val="004C15B5"/>
    <w:rsid w:val="004C2ECC"/>
    <w:rsid w:val="004C3DAB"/>
    <w:rsid w:val="004C4187"/>
    <w:rsid w:val="004C500A"/>
    <w:rsid w:val="004C5E14"/>
    <w:rsid w:val="004C72CD"/>
    <w:rsid w:val="004C7318"/>
    <w:rsid w:val="004D0973"/>
    <w:rsid w:val="004D174E"/>
    <w:rsid w:val="004D1A6C"/>
    <w:rsid w:val="004D2840"/>
    <w:rsid w:val="004D3A05"/>
    <w:rsid w:val="004D43DA"/>
    <w:rsid w:val="004D52AB"/>
    <w:rsid w:val="004E139C"/>
    <w:rsid w:val="004E26A5"/>
    <w:rsid w:val="004E7ED6"/>
    <w:rsid w:val="004F1BEB"/>
    <w:rsid w:val="004F2748"/>
    <w:rsid w:val="004F2D8B"/>
    <w:rsid w:val="004F33FF"/>
    <w:rsid w:val="004F37EA"/>
    <w:rsid w:val="004F5193"/>
    <w:rsid w:val="005009ED"/>
    <w:rsid w:val="00500C47"/>
    <w:rsid w:val="00500FE6"/>
    <w:rsid w:val="00501130"/>
    <w:rsid w:val="00501D97"/>
    <w:rsid w:val="005022E9"/>
    <w:rsid w:val="00502306"/>
    <w:rsid w:val="005030A1"/>
    <w:rsid w:val="00503480"/>
    <w:rsid w:val="0050613E"/>
    <w:rsid w:val="00506804"/>
    <w:rsid w:val="0050727B"/>
    <w:rsid w:val="00507B0B"/>
    <w:rsid w:val="00507F86"/>
    <w:rsid w:val="00511E90"/>
    <w:rsid w:val="00513433"/>
    <w:rsid w:val="005137B6"/>
    <w:rsid w:val="00513A28"/>
    <w:rsid w:val="00514560"/>
    <w:rsid w:val="00515F68"/>
    <w:rsid w:val="00517535"/>
    <w:rsid w:val="005179EE"/>
    <w:rsid w:val="00517A84"/>
    <w:rsid w:val="00520100"/>
    <w:rsid w:val="00521071"/>
    <w:rsid w:val="0052175B"/>
    <w:rsid w:val="00523FA4"/>
    <w:rsid w:val="00524742"/>
    <w:rsid w:val="00524FD1"/>
    <w:rsid w:val="005252F9"/>
    <w:rsid w:val="00525C07"/>
    <w:rsid w:val="00526C8E"/>
    <w:rsid w:val="00527D95"/>
    <w:rsid w:val="00532CD5"/>
    <w:rsid w:val="00533694"/>
    <w:rsid w:val="005349A6"/>
    <w:rsid w:val="00536202"/>
    <w:rsid w:val="00536287"/>
    <w:rsid w:val="00540D15"/>
    <w:rsid w:val="00544400"/>
    <w:rsid w:val="0054497D"/>
    <w:rsid w:val="00546069"/>
    <w:rsid w:val="0054690A"/>
    <w:rsid w:val="00546E42"/>
    <w:rsid w:val="00550211"/>
    <w:rsid w:val="00550CE6"/>
    <w:rsid w:val="00552A95"/>
    <w:rsid w:val="00553987"/>
    <w:rsid w:val="00553E4D"/>
    <w:rsid w:val="005540D0"/>
    <w:rsid w:val="005546FD"/>
    <w:rsid w:val="0055563C"/>
    <w:rsid w:val="00556009"/>
    <w:rsid w:val="0055678E"/>
    <w:rsid w:val="00556BAE"/>
    <w:rsid w:val="005574CE"/>
    <w:rsid w:val="00557C05"/>
    <w:rsid w:val="00560A3B"/>
    <w:rsid w:val="00562F78"/>
    <w:rsid w:val="00563294"/>
    <w:rsid w:val="0056364D"/>
    <w:rsid w:val="0056388C"/>
    <w:rsid w:val="005650F1"/>
    <w:rsid w:val="0056635D"/>
    <w:rsid w:val="005728A1"/>
    <w:rsid w:val="005735F7"/>
    <w:rsid w:val="00573800"/>
    <w:rsid w:val="00575191"/>
    <w:rsid w:val="005753C0"/>
    <w:rsid w:val="0057617F"/>
    <w:rsid w:val="0058060C"/>
    <w:rsid w:val="00582496"/>
    <w:rsid w:val="005827C4"/>
    <w:rsid w:val="005835CA"/>
    <w:rsid w:val="0058414A"/>
    <w:rsid w:val="005856F1"/>
    <w:rsid w:val="00585ABA"/>
    <w:rsid w:val="0058634D"/>
    <w:rsid w:val="00587336"/>
    <w:rsid w:val="00587395"/>
    <w:rsid w:val="00590427"/>
    <w:rsid w:val="0059056B"/>
    <w:rsid w:val="00591229"/>
    <w:rsid w:val="00592748"/>
    <w:rsid w:val="00592818"/>
    <w:rsid w:val="005931B0"/>
    <w:rsid w:val="00593689"/>
    <w:rsid w:val="005A0C5F"/>
    <w:rsid w:val="005A1C5D"/>
    <w:rsid w:val="005A3329"/>
    <w:rsid w:val="005A3392"/>
    <w:rsid w:val="005A33AB"/>
    <w:rsid w:val="005A36E6"/>
    <w:rsid w:val="005A588D"/>
    <w:rsid w:val="005A7A24"/>
    <w:rsid w:val="005B08AB"/>
    <w:rsid w:val="005B172E"/>
    <w:rsid w:val="005B1C1F"/>
    <w:rsid w:val="005B38AF"/>
    <w:rsid w:val="005B3ED8"/>
    <w:rsid w:val="005B446C"/>
    <w:rsid w:val="005B4D92"/>
    <w:rsid w:val="005B610A"/>
    <w:rsid w:val="005B79ED"/>
    <w:rsid w:val="005C0202"/>
    <w:rsid w:val="005C2014"/>
    <w:rsid w:val="005C299F"/>
    <w:rsid w:val="005C3778"/>
    <w:rsid w:val="005C39CB"/>
    <w:rsid w:val="005C3F49"/>
    <w:rsid w:val="005C40F1"/>
    <w:rsid w:val="005C72C1"/>
    <w:rsid w:val="005C7393"/>
    <w:rsid w:val="005C79F5"/>
    <w:rsid w:val="005D055D"/>
    <w:rsid w:val="005D0CE4"/>
    <w:rsid w:val="005D1957"/>
    <w:rsid w:val="005D33B9"/>
    <w:rsid w:val="005D3B7E"/>
    <w:rsid w:val="005D4AD9"/>
    <w:rsid w:val="005D5456"/>
    <w:rsid w:val="005D58E8"/>
    <w:rsid w:val="005D5B88"/>
    <w:rsid w:val="005D6798"/>
    <w:rsid w:val="005D6C2B"/>
    <w:rsid w:val="005D6D50"/>
    <w:rsid w:val="005D7467"/>
    <w:rsid w:val="005E11B9"/>
    <w:rsid w:val="005E575E"/>
    <w:rsid w:val="005E5F9B"/>
    <w:rsid w:val="005E7C76"/>
    <w:rsid w:val="005E7EDB"/>
    <w:rsid w:val="005F1B4A"/>
    <w:rsid w:val="005F202C"/>
    <w:rsid w:val="005F20F3"/>
    <w:rsid w:val="005F34B1"/>
    <w:rsid w:val="005F584F"/>
    <w:rsid w:val="005F7967"/>
    <w:rsid w:val="005F7F6F"/>
    <w:rsid w:val="0060063C"/>
    <w:rsid w:val="006008FF"/>
    <w:rsid w:val="006013A0"/>
    <w:rsid w:val="006027F0"/>
    <w:rsid w:val="0060379F"/>
    <w:rsid w:val="00603BD8"/>
    <w:rsid w:val="006043E5"/>
    <w:rsid w:val="00605528"/>
    <w:rsid w:val="006058A5"/>
    <w:rsid w:val="00606189"/>
    <w:rsid w:val="006072B8"/>
    <w:rsid w:val="006075A0"/>
    <w:rsid w:val="006104A4"/>
    <w:rsid w:val="00610C09"/>
    <w:rsid w:val="00612AA3"/>
    <w:rsid w:val="006150E6"/>
    <w:rsid w:val="006157DB"/>
    <w:rsid w:val="006166AB"/>
    <w:rsid w:val="006201CF"/>
    <w:rsid w:val="00624FFF"/>
    <w:rsid w:val="0062688B"/>
    <w:rsid w:val="00631A89"/>
    <w:rsid w:val="00632EF4"/>
    <w:rsid w:val="0063445F"/>
    <w:rsid w:val="0063456E"/>
    <w:rsid w:val="00634EA3"/>
    <w:rsid w:val="00636D74"/>
    <w:rsid w:val="00640D38"/>
    <w:rsid w:val="0064105D"/>
    <w:rsid w:val="0064180B"/>
    <w:rsid w:val="00641D46"/>
    <w:rsid w:val="006420B8"/>
    <w:rsid w:val="00642442"/>
    <w:rsid w:val="0064271F"/>
    <w:rsid w:val="006441A2"/>
    <w:rsid w:val="0064426A"/>
    <w:rsid w:val="00645FDE"/>
    <w:rsid w:val="0064644E"/>
    <w:rsid w:val="00651AE0"/>
    <w:rsid w:val="006538BE"/>
    <w:rsid w:val="00654CB3"/>
    <w:rsid w:val="006565FC"/>
    <w:rsid w:val="0066059E"/>
    <w:rsid w:val="00660CAF"/>
    <w:rsid w:val="00661293"/>
    <w:rsid w:val="00661DEB"/>
    <w:rsid w:val="00662BC4"/>
    <w:rsid w:val="00663B71"/>
    <w:rsid w:val="00663D50"/>
    <w:rsid w:val="0066423E"/>
    <w:rsid w:val="006645DE"/>
    <w:rsid w:val="0066504E"/>
    <w:rsid w:val="00665528"/>
    <w:rsid w:val="006656F0"/>
    <w:rsid w:val="006678C6"/>
    <w:rsid w:val="0067046E"/>
    <w:rsid w:val="00670F1B"/>
    <w:rsid w:val="00670F93"/>
    <w:rsid w:val="00671588"/>
    <w:rsid w:val="00671FBC"/>
    <w:rsid w:val="00672B1F"/>
    <w:rsid w:val="0067322E"/>
    <w:rsid w:val="006736E7"/>
    <w:rsid w:val="00673B3B"/>
    <w:rsid w:val="00674E89"/>
    <w:rsid w:val="00676C98"/>
    <w:rsid w:val="00676FCB"/>
    <w:rsid w:val="00680732"/>
    <w:rsid w:val="00680A3F"/>
    <w:rsid w:val="006846BB"/>
    <w:rsid w:val="00685855"/>
    <w:rsid w:val="00685C55"/>
    <w:rsid w:val="006879D4"/>
    <w:rsid w:val="006908F5"/>
    <w:rsid w:val="00691F20"/>
    <w:rsid w:val="00692D90"/>
    <w:rsid w:val="00692E47"/>
    <w:rsid w:val="00692EA4"/>
    <w:rsid w:val="0069332C"/>
    <w:rsid w:val="00695824"/>
    <w:rsid w:val="00697F7E"/>
    <w:rsid w:val="006A07BF"/>
    <w:rsid w:val="006A0F1A"/>
    <w:rsid w:val="006A11EB"/>
    <w:rsid w:val="006A3B92"/>
    <w:rsid w:val="006A545E"/>
    <w:rsid w:val="006A655C"/>
    <w:rsid w:val="006A7407"/>
    <w:rsid w:val="006B023B"/>
    <w:rsid w:val="006B28DE"/>
    <w:rsid w:val="006B56BF"/>
    <w:rsid w:val="006B5D45"/>
    <w:rsid w:val="006B64CB"/>
    <w:rsid w:val="006B74F0"/>
    <w:rsid w:val="006C04DC"/>
    <w:rsid w:val="006C13A5"/>
    <w:rsid w:val="006C2A12"/>
    <w:rsid w:val="006C46D7"/>
    <w:rsid w:val="006C5212"/>
    <w:rsid w:val="006C6559"/>
    <w:rsid w:val="006C7B18"/>
    <w:rsid w:val="006C7B22"/>
    <w:rsid w:val="006D00FB"/>
    <w:rsid w:val="006D0201"/>
    <w:rsid w:val="006D0FC3"/>
    <w:rsid w:val="006D307E"/>
    <w:rsid w:val="006D4FAC"/>
    <w:rsid w:val="006D5EDA"/>
    <w:rsid w:val="006D71AB"/>
    <w:rsid w:val="006D7896"/>
    <w:rsid w:val="006D7E37"/>
    <w:rsid w:val="006E34E3"/>
    <w:rsid w:val="006E3C29"/>
    <w:rsid w:val="006E41C5"/>
    <w:rsid w:val="006E514C"/>
    <w:rsid w:val="006E52A5"/>
    <w:rsid w:val="006E5B22"/>
    <w:rsid w:val="006E61C1"/>
    <w:rsid w:val="006E629C"/>
    <w:rsid w:val="006E70B5"/>
    <w:rsid w:val="006F1330"/>
    <w:rsid w:val="006F6330"/>
    <w:rsid w:val="006F67BB"/>
    <w:rsid w:val="006F6BCE"/>
    <w:rsid w:val="006F709F"/>
    <w:rsid w:val="006F7BF3"/>
    <w:rsid w:val="00700297"/>
    <w:rsid w:val="00701156"/>
    <w:rsid w:val="00703B4A"/>
    <w:rsid w:val="007046F4"/>
    <w:rsid w:val="0070582C"/>
    <w:rsid w:val="007111BA"/>
    <w:rsid w:val="00711B81"/>
    <w:rsid w:val="00711BE4"/>
    <w:rsid w:val="007123A9"/>
    <w:rsid w:val="0071407F"/>
    <w:rsid w:val="007141E3"/>
    <w:rsid w:val="00714512"/>
    <w:rsid w:val="00714A1A"/>
    <w:rsid w:val="00716189"/>
    <w:rsid w:val="00716270"/>
    <w:rsid w:val="00717835"/>
    <w:rsid w:val="007179BE"/>
    <w:rsid w:val="00717E9F"/>
    <w:rsid w:val="00721D91"/>
    <w:rsid w:val="00724846"/>
    <w:rsid w:val="00727001"/>
    <w:rsid w:val="00730272"/>
    <w:rsid w:val="00731177"/>
    <w:rsid w:val="00733DF6"/>
    <w:rsid w:val="00735A3B"/>
    <w:rsid w:val="00736078"/>
    <w:rsid w:val="007368D5"/>
    <w:rsid w:val="007379A1"/>
    <w:rsid w:val="00741EA4"/>
    <w:rsid w:val="00742028"/>
    <w:rsid w:val="007423E1"/>
    <w:rsid w:val="0074332C"/>
    <w:rsid w:val="00743E11"/>
    <w:rsid w:val="007462CB"/>
    <w:rsid w:val="00746AD8"/>
    <w:rsid w:val="00750BDF"/>
    <w:rsid w:val="00754283"/>
    <w:rsid w:val="00755BED"/>
    <w:rsid w:val="00756FED"/>
    <w:rsid w:val="007604F9"/>
    <w:rsid w:val="007638B3"/>
    <w:rsid w:val="00763EC8"/>
    <w:rsid w:val="007646C0"/>
    <w:rsid w:val="00765309"/>
    <w:rsid w:val="00766A85"/>
    <w:rsid w:val="00770698"/>
    <w:rsid w:val="0077287D"/>
    <w:rsid w:val="00780B49"/>
    <w:rsid w:val="0078144B"/>
    <w:rsid w:val="007829C1"/>
    <w:rsid w:val="00784E80"/>
    <w:rsid w:val="00785085"/>
    <w:rsid w:val="00787CCF"/>
    <w:rsid w:val="00791A2D"/>
    <w:rsid w:val="00791EFF"/>
    <w:rsid w:val="0079253C"/>
    <w:rsid w:val="007957EF"/>
    <w:rsid w:val="007964A0"/>
    <w:rsid w:val="007968A8"/>
    <w:rsid w:val="007A16E4"/>
    <w:rsid w:val="007A3299"/>
    <w:rsid w:val="007A33BC"/>
    <w:rsid w:val="007A3922"/>
    <w:rsid w:val="007A453F"/>
    <w:rsid w:val="007A6E41"/>
    <w:rsid w:val="007A721C"/>
    <w:rsid w:val="007B03AE"/>
    <w:rsid w:val="007B1794"/>
    <w:rsid w:val="007B2245"/>
    <w:rsid w:val="007B285A"/>
    <w:rsid w:val="007B3B82"/>
    <w:rsid w:val="007B3D4F"/>
    <w:rsid w:val="007B5A66"/>
    <w:rsid w:val="007B5DEA"/>
    <w:rsid w:val="007C0289"/>
    <w:rsid w:val="007C0FD1"/>
    <w:rsid w:val="007C1B51"/>
    <w:rsid w:val="007C5634"/>
    <w:rsid w:val="007D0F03"/>
    <w:rsid w:val="007D12AA"/>
    <w:rsid w:val="007D218D"/>
    <w:rsid w:val="007D2375"/>
    <w:rsid w:val="007D2DED"/>
    <w:rsid w:val="007D3271"/>
    <w:rsid w:val="007D345A"/>
    <w:rsid w:val="007D36C7"/>
    <w:rsid w:val="007D3998"/>
    <w:rsid w:val="007D40A5"/>
    <w:rsid w:val="007D40F7"/>
    <w:rsid w:val="007D4D51"/>
    <w:rsid w:val="007D4D76"/>
    <w:rsid w:val="007D6359"/>
    <w:rsid w:val="007D6531"/>
    <w:rsid w:val="007E0436"/>
    <w:rsid w:val="007E1A24"/>
    <w:rsid w:val="007E2A70"/>
    <w:rsid w:val="007E36CA"/>
    <w:rsid w:val="007E3956"/>
    <w:rsid w:val="007E3C6D"/>
    <w:rsid w:val="007E4A79"/>
    <w:rsid w:val="007E4C1D"/>
    <w:rsid w:val="007E72BB"/>
    <w:rsid w:val="007E7501"/>
    <w:rsid w:val="007E76C7"/>
    <w:rsid w:val="007F0AA1"/>
    <w:rsid w:val="007F4DA8"/>
    <w:rsid w:val="007F55A7"/>
    <w:rsid w:val="007F634F"/>
    <w:rsid w:val="007F65E5"/>
    <w:rsid w:val="007F6BFC"/>
    <w:rsid w:val="007F6D0C"/>
    <w:rsid w:val="007F6F95"/>
    <w:rsid w:val="007F757F"/>
    <w:rsid w:val="008020EC"/>
    <w:rsid w:val="008030E7"/>
    <w:rsid w:val="008038E9"/>
    <w:rsid w:val="0080459E"/>
    <w:rsid w:val="0080480B"/>
    <w:rsid w:val="00805AA1"/>
    <w:rsid w:val="008060D7"/>
    <w:rsid w:val="00806205"/>
    <w:rsid w:val="008067E1"/>
    <w:rsid w:val="00806C96"/>
    <w:rsid w:val="00807680"/>
    <w:rsid w:val="0080786F"/>
    <w:rsid w:val="00810A0D"/>
    <w:rsid w:val="0081184B"/>
    <w:rsid w:val="00811C6E"/>
    <w:rsid w:val="0081297C"/>
    <w:rsid w:val="00814039"/>
    <w:rsid w:val="008147BF"/>
    <w:rsid w:val="00814BF8"/>
    <w:rsid w:val="00815C66"/>
    <w:rsid w:val="00820284"/>
    <w:rsid w:val="00821859"/>
    <w:rsid w:val="00822651"/>
    <w:rsid w:val="00824ADD"/>
    <w:rsid w:val="00824EE5"/>
    <w:rsid w:val="00825D5E"/>
    <w:rsid w:val="0082709B"/>
    <w:rsid w:val="00827CFC"/>
    <w:rsid w:val="00830280"/>
    <w:rsid w:val="00830C79"/>
    <w:rsid w:val="00830FCB"/>
    <w:rsid w:val="00831414"/>
    <w:rsid w:val="00831F81"/>
    <w:rsid w:val="008321BB"/>
    <w:rsid w:val="0083497E"/>
    <w:rsid w:val="008364F0"/>
    <w:rsid w:val="008366E6"/>
    <w:rsid w:val="00836E56"/>
    <w:rsid w:val="0084091C"/>
    <w:rsid w:val="0084200C"/>
    <w:rsid w:val="00844286"/>
    <w:rsid w:val="00847AFF"/>
    <w:rsid w:val="00847F24"/>
    <w:rsid w:val="008507DE"/>
    <w:rsid w:val="008512FD"/>
    <w:rsid w:val="008543D5"/>
    <w:rsid w:val="00855EE8"/>
    <w:rsid w:val="00856017"/>
    <w:rsid w:val="00857CDC"/>
    <w:rsid w:val="00860743"/>
    <w:rsid w:val="008607AB"/>
    <w:rsid w:val="00861FE6"/>
    <w:rsid w:val="00862ACA"/>
    <w:rsid w:val="00862E9A"/>
    <w:rsid w:val="00864EBE"/>
    <w:rsid w:val="0086558D"/>
    <w:rsid w:val="00865693"/>
    <w:rsid w:val="00865706"/>
    <w:rsid w:val="008665A6"/>
    <w:rsid w:val="00866D7E"/>
    <w:rsid w:val="008675FB"/>
    <w:rsid w:val="00870376"/>
    <w:rsid w:val="0087181F"/>
    <w:rsid w:val="00871933"/>
    <w:rsid w:val="008730C0"/>
    <w:rsid w:val="00873EEB"/>
    <w:rsid w:val="008742C0"/>
    <w:rsid w:val="00874F75"/>
    <w:rsid w:val="008754D3"/>
    <w:rsid w:val="00876638"/>
    <w:rsid w:val="00877BD9"/>
    <w:rsid w:val="00880B6D"/>
    <w:rsid w:val="00882410"/>
    <w:rsid w:val="0088541A"/>
    <w:rsid w:val="0088553D"/>
    <w:rsid w:val="008858BF"/>
    <w:rsid w:val="00887D94"/>
    <w:rsid w:val="00891B82"/>
    <w:rsid w:val="0089270A"/>
    <w:rsid w:val="00892AAB"/>
    <w:rsid w:val="00892D1E"/>
    <w:rsid w:val="008933E9"/>
    <w:rsid w:val="00894026"/>
    <w:rsid w:val="00894F76"/>
    <w:rsid w:val="0089510D"/>
    <w:rsid w:val="008A0B0C"/>
    <w:rsid w:val="008A0BDD"/>
    <w:rsid w:val="008A0CDD"/>
    <w:rsid w:val="008A2BFB"/>
    <w:rsid w:val="008A2E51"/>
    <w:rsid w:val="008A37BA"/>
    <w:rsid w:val="008A4BD4"/>
    <w:rsid w:val="008B013F"/>
    <w:rsid w:val="008B018C"/>
    <w:rsid w:val="008B1D95"/>
    <w:rsid w:val="008B377B"/>
    <w:rsid w:val="008B38A5"/>
    <w:rsid w:val="008B4A59"/>
    <w:rsid w:val="008B5206"/>
    <w:rsid w:val="008B57BB"/>
    <w:rsid w:val="008B5DD0"/>
    <w:rsid w:val="008B6A2E"/>
    <w:rsid w:val="008B7EC8"/>
    <w:rsid w:val="008C02E9"/>
    <w:rsid w:val="008C1AAC"/>
    <w:rsid w:val="008C3A46"/>
    <w:rsid w:val="008C4218"/>
    <w:rsid w:val="008C4FFA"/>
    <w:rsid w:val="008C5AC7"/>
    <w:rsid w:val="008C63C6"/>
    <w:rsid w:val="008C6844"/>
    <w:rsid w:val="008C754E"/>
    <w:rsid w:val="008D0022"/>
    <w:rsid w:val="008D02C1"/>
    <w:rsid w:val="008D0880"/>
    <w:rsid w:val="008D09B8"/>
    <w:rsid w:val="008D1BAF"/>
    <w:rsid w:val="008D21D3"/>
    <w:rsid w:val="008D24B1"/>
    <w:rsid w:val="008D4509"/>
    <w:rsid w:val="008D4823"/>
    <w:rsid w:val="008D49F4"/>
    <w:rsid w:val="008D5B83"/>
    <w:rsid w:val="008E17F1"/>
    <w:rsid w:val="008E25E1"/>
    <w:rsid w:val="008E284B"/>
    <w:rsid w:val="008E4F86"/>
    <w:rsid w:val="008E6E85"/>
    <w:rsid w:val="008E6F54"/>
    <w:rsid w:val="008E7F0D"/>
    <w:rsid w:val="008F0F50"/>
    <w:rsid w:val="008F1435"/>
    <w:rsid w:val="008F181A"/>
    <w:rsid w:val="008F2D7A"/>
    <w:rsid w:val="008F30FB"/>
    <w:rsid w:val="008F378F"/>
    <w:rsid w:val="008F4A47"/>
    <w:rsid w:val="008F53BA"/>
    <w:rsid w:val="008F7009"/>
    <w:rsid w:val="00900552"/>
    <w:rsid w:val="00900C8F"/>
    <w:rsid w:val="00901208"/>
    <w:rsid w:val="00901A79"/>
    <w:rsid w:val="00902327"/>
    <w:rsid w:val="009046C6"/>
    <w:rsid w:val="00904BFD"/>
    <w:rsid w:val="00905D90"/>
    <w:rsid w:val="00906401"/>
    <w:rsid w:val="00906AAA"/>
    <w:rsid w:val="00907032"/>
    <w:rsid w:val="00907475"/>
    <w:rsid w:val="00911D22"/>
    <w:rsid w:val="0091413E"/>
    <w:rsid w:val="00915E98"/>
    <w:rsid w:val="00916B6D"/>
    <w:rsid w:val="009214C6"/>
    <w:rsid w:val="00921532"/>
    <w:rsid w:val="0092199C"/>
    <w:rsid w:val="009237A7"/>
    <w:rsid w:val="00923C30"/>
    <w:rsid w:val="00923DB9"/>
    <w:rsid w:val="0092421E"/>
    <w:rsid w:val="00924275"/>
    <w:rsid w:val="0092683C"/>
    <w:rsid w:val="00927EA2"/>
    <w:rsid w:val="009304BD"/>
    <w:rsid w:val="00930E84"/>
    <w:rsid w:val="009317E6"/>
    <w:rsid w:val="00933E20"/>
    <w:rsid w:val="00934AB5"/>
    <w:rsid w:val="00934BA0"/>
    <w:rsid w:val="00934E60"/>
    <w:rsid w:val="009371F4"/>
    <w:rsid w:val="009372B2"/>
    <w:rsid w:val="00937A40"/>
    <w:rsid w:val="00940094"/>
    <w:rsid w:val="00942040"/>
    <w:rsid w:val="009425F8"/>
    <w:rsid w:val="0094633B"/>
    <w:rsid w:val="00946BB7"/>
    <w:rsid w:val="00947540"/>
    <w:rsid w:val="00947CB2"/>
    <w:rsid w:val="00950A51"/>
    <w:rsid w:val="009521C3"/>
    <w:rsid w:val="00952677"/>
    <w:rsid w:val="00952F56"/>
    <w:rsid w:val="00953D78"/>
    <w:rsid w:val="00953D9B"/>
    <w:rsid w:val="0095410D"/>
    <w:rsid w:val="00954A60"/>
    <w:rsid w:val="00954E28"/>
    <w:rsid w:val="00955C6F"/>
    <w:rsid w:val="0095608A"/>
    <w:rsid w:val="00956E21"/>
    <w:rsid w:val="00957FB6"/>
    <w:rsid w:val="00961B4D"/>
    <w:rsid w:val="00963213"/>
    <w:rsid w:val="00963E7E"/>
    <w:rsid w:val="00963F33"/>
    <w:rsid w:val="00966200"/>
    <w:rsid w:val="009666B5"/>
    <w:rsid w:val="00967C55"/>
    <w:rsid w:val="0097038C"/>
    <w:rsid w:val="00970453"/>
    <w:rsid w:val="009705B4"/>
    <w:rsid w:val="00971534"/>
    <w:rsid w:val="009721FB"/>
    <w:rsid w:val="00973ABD"/>
    <w:rsid w:val="00974F61"/>
    <w:rsid w:val="009755FF"/>
    <w:rsid w:val="00975C6D"/>
    <w:rsid w:val="0097666F"/>
    <w:rsid w:val="00981CE3"/>
    <w:rsid w:val="0098260E"/>
    <w:rsid w:val="00984DCC"/>
    <w:rsid w:val="00987D77"/>
    <w:rsid w:val="00993969"/>
    <w:rsid w:val="00993EBB"/>
    <w:rsid w:val="009955DC"/>
    <w:rsid w:val="009971EF"/>
    <w:rsid w:val="009A0341"/>
    <w:rsid w:val="009A1746"/>
    <w:rsid w:val="009A1A77"/>
    <w:rsid w:val="009A3654"/>
    <w:rsid w:val="009A37C0"/>
    <w:rsid w:val="009A45A8"/>
    <w:rsid w:val="009A492A"/>
    <w:rsid w:val="009A5700"/>
    <w:rsid w:val="009A6444"/>
    <w:rsid w:val="009A672A"/>
    <w:rsid w:val="009B01A3"/>
    <w:rsid w:val="009B0B45"/>
    <w:rsid w:val="009B0F3E"/>
    <w:rsid w:val="009B2494"/>
    <w:rsid w:val="009B259D"/>
    <w:rsid w:val="009B2F08"/>
    <w:rsid w:val="009B3DF0"/>
    <w:rsid w:val="009B50B8"/>
    <w:rsid w:val="009B57E2"/>
    <w:rsid w:val="009B59F2"/>
    <w:rsid w:val="009B5EB5"/>
    <w:rsid w:val="009B6A01"/>
    <w:rsid w:val="009B7AA2"/>
    <w:rsid w:val="009C046C"/>
    <w:rsid w:val="009C23DA"/>
    <w:rsid w:val="009C3DD5"/>
    <w:rsid w:val="009C3EA4"/>
    <w:rsid w:val="009C4479"/>
    <w:rsid w:val="009C4FAD"/>
    <w:rsid w:val="009C5A6E"/>
    <w:rsid w:val="009C6AC1"/>
    <w:rsid w:val="009D082C"/>
    <w:rsid w:val="009D3756"/>
    <w:rsid w:val="009D4935"/>
    <w:rsid w:val="009D4A8C"/>
    <w:rsid w:val="009D4BBF"/>
    <w:rsid w:val="009D6469"/>
    <w:rsid w:val="009E0059"/>
    <w:rsid w:val="009E057C"/>
    <w:rsid w:val="009E1A19"/>
    <w:rsid w:val="009E216F"/>
    <w:rsid w:val="009E21A7"/>
    <w:rsid w:val="009E41C4"/>
    <w:rsid w:val="009E4426"/>
    <w:rsid w:val="009E61F8"/>
    <w:rsid w:val="009E635B"/>
    <w:rsid w:val="009E6535"/>
    <w:rsid w:val="009E6A5A"/>
    <w:rsid w:val="009E7197"/>
    <w:rsid w:val="009E7A8B"/>
    <w:rsid w:val="009F21F5"/>
    <w:rsid w:val="009F474F"/>
    <w:rsid w:val="009F7186"/>
    <w:rsid w:val="009F7906"/>
    <w:rsid w:val="00A008DC"/>
    <w:rsid w:val="00A02100"/>
    <w:rsid w:val="00A025ED"/>
    <w:rsid w:val="00A03BF4"/>
    <w:rsid w:val="00A04211"/>
    <w:rsid w:val="00A057A1"/>
    <w:rsid w:val="00A06E58"/>
    <w:rsid w:val="00A106E8"/>
    <w:rsid w:val="00A11442"/>
    <w:rsid w:val="00A12A54"/>
    <w:rsid w:val="00A134E5"/>
    <w:rsid w:val="00A16207"/>
    <w:rsid w:val="00A20A26"/>
    <w:rsid w:val="00A20F2F"/>
    <w:rsid w:val="00A25A13"/>
    <w:rsid w:val="00A2766E"/>
    <w:rsid w:val="00A278E1"/>
    <w:rsid w:val="00A279E6"/>
    <w:rsid w:val="00A307B4"/>
    <w:rsid w:val="00A30EB0"/>
    <w:rsid w:val="00A31834"/>
    <w:rsid w:val="00A32DCF"/>
    <w:rsid w:val="00A3351B"/>
    <w:rsid w:val="00A34980"/>
    <w:rsid w:val="00A34DF4"/>
    <w:rsid w:val="00A3539D"/>
    <w:rsid w:val="00A354CF"/>
    <w:rsid w:val="00A40448"/>
    <w:rsid w:val="00A40EF1"/>
    <w:rsid w:val="00A4272B"/>
    <w:rsid w:val="00A43B2E"/>
    <w:rsid w:val="00A444C3"/>
    <w:rsid w:val="00A47B81"/>
    <w:rsid w:val="00A47C46"/>
    <w:rsid w:val="00A47EFE"/>
    <w:rsid w:val="00A526BF"/>
    <w:rsid w:val="00A5541B"/>
    <w:rsid w:val="00A55AA9"/>
    <w:rsid w:val="00A56170"/>
    <w:rsid w:val="00A56611"/>
    <w:rsid w:val="00A5679C"/>
    <w:rsid w:val="00A569FB"/>
    <w:rsid w:val="00A61FFB"/>
    <w:rsid w:val="00A62B97"/>
    <w:rsid w:val="00A657A0"/>
    <w:rsid w:val="00A66C52"/>
    <w:rsid w:val="00A67ADC"/>
    <w:rsid w:val="00A72489"/>
    <w:rsid w:val="00A75E90"/>
    <w:rsid w:val="00A767FB"/>
    <w:rsid w:val="00A76EED"/>
    <w:rsid w:val="00A7750D"/>
    <w:rsid w:val="00A80142"/>
    <w:rsid w:val="00A82EB5"/>
    <w:rsid w:val="00A836A3"/>
    <w:rsid w:val="00A83EAE"/>
    <w:rsid w:val="00A848F8"/>
    <w:rsid w:val="00A85776"/>
    <w:rsid w:val="00A8757F"/>
    <w:rsid w:val="00A87CCE"/>
    <w:rsid w:val="00A92694"/>
    <w:rsid w:val="00A9619F"/>
    <w:rsid w:val="00A97747"/>
    <w:rsid w:val="00AA2B53"/>
    <w:rsid w:val="00AA3821"/>
    <w:rsid w:val="00AA4942"/>
    <w:rsid w:val="00AA526F"/>
    <w:rsid w:val="00AA56B1"/>
    <w:rsid w:val="00AA6BB6"/>
    <w:rsid w:val="00AB11F3"/>
    <w:rsid w:val="00AB22C1"/>
    <w:rsid w:val="00AB25D9"/>
    <w:rsid w:val="00AB2EB9"/>
    <w:rsid w:val="00AB6ADC"/>
    <w:rsid w:val="00AB7D3B"/>
    <w:rsid w:val="00AC12E1"/>
    <w:rsid w:val="00AC16BA"/>
    <w:rsid w:val="00AC1B1D"/>
    <w:rsid w:val="00AC349B"/>
    <w:rsid w:val="00AC4184"/>
    <w:rsid w:val="00AC5171"/>
    <w:rsid w:val="00AC5223"/>
    <w:rsid w:val="00AD1205"/>
    <w:rsid w:val="00AD520B"/>
    <w:rsid w:val="00AD5BEC"/>
    <w:rsid w:val="00AD7A77"/>
    <w:rsid w:val="00AE0B9A"/>
    <w:rsid w:val="00AE4380"/>
    <w:rsid w:val="00AE5302"/>
    <w:rsid w:val="00AF111C"/>
    <w:rsid w:val="00AF2127"/>
    <w:rsid w:val="00AF2332"/>
    <w:rsid w:val="00AF3BB7"/>
    <w:rsid w:val="00AF4103"/>
    <w:rsid w:val="00AF4721"/>
    <w:rsid w:val="00AF4D57"/>
    <w:rsid w:val="00AF668C"/>
    <w:rsid w:val="00AF67BB"/>
    <w:rsid w:val="00AF7ACC"/>
    <w:rsid w:val="00B00B93"/>
    <w:rsid w:val="00B00F4D"/>
    <w:rsid w:val="00B015C1"/>
    <w:rsid w:val="00B01F96"/>
    <w:rsid w:val="00B02FC3"/>
    <w:rsid w:val="00B0333C"/>
    <w:rsid w:val="00B034C6"/>
    <w:rsid w:val="00B0368D"/>
    <w:rsid w:val="00B04629"/>
    <w:rsid w:val="00B06744"/>
    <w:rsid w:val="00B07BA7"/>
    <w:rsid w:val="00B112A8"/>
    <w:rsid w:val="00B14058"/>
    <w:rsid w:val="00B145D9"/>
    <w:rsid w:val="00B149E6"/>
    <w:rsid w:val="00B14ADB"/>
    <w:rsid w:val="00B15DE0"/>
    <w:rsid w:val="00B20C24"/>
    <w:rsid w:val="00B20F4A"/>
    <w:rsid w:val="00B21D69"/>
    <w:rsid w:val="00B2402B"/>
    <w:rsid w:val="00B25DD3"/>
    <w:rsid w:val="00B30895"/>
    <w:rsid w:val="00B31D51"/>
    <w:rsid w:val="00B32AD5"/>
    <w:rsid w:val="00B337B0"/>
    <w:rsid w:val="00B351C3"/>
    <w:rsid w:val="00B35404"/>
    <w:rsid w:val="00B35DB4"/>
    <w:rsid w:val="00B35FD2"/>
    <w:rsid w:val="00B360F8"/>
    <w:rsid w:val="00B36966"/>
    <w:rsid w:val="00B40791"/>
    <w:rsid w:val="00B4130A"/>
    <w:rsid w:val="00B41473"/>
    <w:rsid w:val="00B41AD0"/>
    <w:rsid w:val="00B43E1F"/>
    <w:rsid w:val="00B44154"/>
    <w:rsid w:val="00B45F7E"/>
    <w:rsid w:val="00B4617D"/>
    <w:rsid w:val="00B46A66"/>
    <w:rsid w:val="00B46E9A"/>
    <w:rsid w:val="00B47543"/>
    <w:rsid w:val="00B479FC"/>
    <w:rsid w:val="00B50513"/>
    <w:rsid w:val="00B522AD"/>
    <w:rsid w:val="00B5234E"/>
    <w:rsid w:val="00B53134"/>
    <w:rsid w:val="00B547FC"/>
    <w:rsid w:val="00B548EC"/>
    <w:rsid w:val="00B55F2D"/>
    <w:rsid w:val="00B56794"/>
    <w:rsid w:val="00B57CB0"/>
    <w:rsid w:val="00B57E48"/>
    <w:rsid w:val="00B6132A"/>
    <w:rsid w:val="00B618A8"/>
    <w:rsid w:val="00B654E3"/>
    <w:rsid w:val="00B66551"/>
    <w:rsid w:val="00B70189"/>
    <w:rsid w:val="00B707A2"/>
    <w:rsid w:val="00B70B89"/>
    <w:rsid w:val="00B721DB"/>
    <w:rsid w:val="00B725B6"/>
    <w:rsid w:val="00B72F29"/>
    <w:rsid w:val="00B7316A"/>
    <w:rsid w:val="00B7411B"/>
    <w:rsid w:val="00B74471"/>
    <w:rsid w:val="00B757C7"/>
    <w:rsid w:val="00B76174"/>
    <w:rsid w:val="00B77B1A"/>
    <w:rsid w:val="00B80B7F"/>
    <w:rsid w:val="00B81097"/>
    <w:rsid w:val="00B819D8"/>
    <w:rsid w:val="00B84241"/>
    <w:rsid w:val="00B8476C"/>
    <w:rsid w:val="00B856C3"/>
    <w:rsid w:val="00B86B30"/>
    <w:rsid w:val="00B87DA0"/>
    <w:rsid w:val="00B91D10"/>
    <w:rsid w:val="00B92728"/>
    <w:rsid w:val="00B92BA4"/>
    <w:rsid w:val="00B93152"/>
    <w:rsid w:val="00B93495"/>
    <w:rsid w:val="00B93CD6"/>
    <w:rsid w:val="00B93D62"/>
    <w:rsid w:val="00B94458"/>
    <w:rsid w:val="00B94771"/>
    <w:rsid w:val="00B94A9C"/>
    <w:rsid w:val="00B9574A"/>
    <w:rsid w:val="00B95F21"/>
    <w:rsid w:val="00B97646"/>
    <w:rsid w:val="00B97773"/>
    <w:rsid w:val="00BA1F0F"/>
    <w:rsid w:val="00BA2087"/>
    <w:rsid w:val="00BA3B99"/>
    <w:rsid w:val="00BA47BC"/>
    <w:rsid w:val="00BA5177"/>
    <w:rsid w:val="00BB02CF"/>
    <w:rsid w:val="00BB0F14"/>
    <w:rsid w:val="00BB25BC"/>
    <w:rsid w:val="00BB3306"/>
    <w:rsid w:val="00BB43FB"/>
    <w:rsid w:val="00BB5236"/>
    <w:rsid w:val="00BB5EC3"/>
    <w:rsid w:val="00BB634D"/>
    <w:rsid w:val="00BB6E92"/>
    <w:rsid w:val="00BB725A"/>
    <w:rsid w:val="00BB76EB"/>
    <w:rsid w:val="00BC05B7"/>
    <w:rsid w:val="00BC1D02"/>
    <w:rsid w:val="00BC2385"/>
    <w:rsid w:val="00BC4C36"/>
    <w:rsid w:val="00BD0464"/>
    <w:rsid w:val="00BD05D0"/>
    <w:rsid w:val="00BD2210"/>
    <w:rsid w:val="00BD24F2"/>
    <w:rsid w:val="00BD276D"/>
    <w:rsid w:val="00BD4D1D"/>
    <w:rsid w:val="00BD5BC7"/>
    <w:rsid w:val="00BD6BC3"/>
    <w:rsid w:val="00BE29E3"/>
    <w:rsid w:val="00BE2A5A"/>
    <w:rsid w:val="00BE6926"/>
    <w:rsid w:val="00BF0E36"/>
    <w:rsid w:val="00BF2994"/>
    <w:rsid w:val="00BF32DE"/>
    <w:rsid w:val="00BF4BE5"/>
    <w:rsid w:val="00BF5489"/>
    <w:rsid w:val="00BF774C"/>
    <w:rsid w:val="00C005AD"/>
    <w:rsid w:val="00C005EE"/>
    <w:rsid w:val="00C01A58"/>
    <w:rsid w:val="00C02283"/>
    <w:rsid w:val="00C022E4"/>
    <w:rsid w:val="00C02827"/>
    <w:rsid w:val="00C02FC0"/>
    <w:rsid w:val="00C035AF"/>
    <w:rsid w:val="00C0381F"/>
    <w:rsid w:val="00C03E62"/>
    <w:rsid w:val="00C03F67"/>
    <w:rsid w:val="00C04054"/>
    <w:rsid w:val="00C04357"/>
    <w:rsid w:val="00C06130"/>
    <w:rsid w:val="00C1015B"/>
    <w:rsid w:val="00C128B1"/>
    <w:rsid w:val="00C12E81"/>
    <w:rsid w:val="00C1378B"/>
    <w:rsid w:val="00C15483"/>
    <w:rsid w:val="00C16474"/>
    <w:rsid w:val="00C20A21"/>
    <w:rsid w:val="00C2143B"/>
    <w:rsid w:val="00C219A1"/>
    <w:rsid w:val="00C23DC0"/>
    <w:rsid w:val="00C25224"/>
    <w:rsid w:val="00C254C4"/>
    <w:rsid w:val="00C27CDE"/>
    <w:rsid w:val="00C30041"/>
    <w:rsid w:val="00C308E0"/>
    <w:rsid w:val="00C316B3"/>
    <w:rsid w:val="00C31CAA"/>
    <w:rsid w:val="00C31CBA"/>
    <w:rsid w:val="00C324F5"/>
    <w:rsid w:val="00C32668"/>
    <w:rsid w:val="00C326C3"/>
    <w:rsid w:val="00C32BAF"/>
    <w:rsid w:val="00C3378B"/>
    <w:rsid w:val="00C3484D"/>
    <w:rsid w:val="00C34FCC"/>
    <w:rsid w:val="00C369E6"/>
    <w:rsid w:val="00C37CAB"/>
    <w:rsid w:val="00C406A1"/>
    <w:rsid w:val="00C40F36"/>
    <w:rsid w:val="00C43FB5"/>
    <w:rsid w:val="00C44F13"/>
    <w:rsid w:val="00C46018"/>
    <w:rsid w:val="00C462F1"/>
    <w:rsid w:val="00C4687E"/>
    <w:rsid w:val="00C526F5"/>
    <w:rsid w:val="00C53D72"/>
    <w:rsid w:val="00C55056"/>
    <w:rsid w:val="00C56337"/>
    <w:rsid w:val="00C568EA"/>
    <w:rsid w:val="00C6179C"/>
    <w:rsid w:val="00C63B3D"/>
    <w:rsid w:val="00C64DA7"/>
    <w:rsid w:val="00C66D23"/>
    <w:rsid w:val="00C7070B"/>
    <w:rsid w:val="00C709DC"/>
    <w:rsid w:val="00C71767"/>
    <w:rsid w:val="00C72517"/>
    <w:rsid w:val="00C74F37"/>
    <w:rsid w:val="00C7552E"/>
    <w:rsid w:val="00C76142"/>
    <w:rsid w:val="00C76DAC"/>
    <w:rsid w:val="00C77606"/>
    <w:rsid w:val="00C7798D"/>
    <w:rsid w:val="00C83809"/>
    <w:rsid w:val="00C87CA0"/>
    <w:rsid w:val="00C87E7A"/>
    <w:rsid w:val="00C902B8"/>
    <w:rsid w:val="00C90832"/>
    <w:rsid w:val="00C91014"/>
    <w:rsid w:val="00C9185F"/>
    <w:rsid w:val="00C91EAA"/>
    <w:rsid w:val="00C92D81"/>
    <w:rsid w:val="00C93229"/>
    <w:rsid w:val="00C93B97"/>
    <w:rsid w:val="00C974A8"/>
    <w:rsid w:val="00CA106A"/>
    <w:rsid w:val="00CA10FB"/>
    <w:rsid w:val="00CA17A0"/>
    <w:rsid w:val="00CA1FC0"/>
    <w:rsid w:val="00CA2DCC"/>
    <w:rsid w:val="00CA347C"/>
    <w:rsid w:val="00CA3D2B"/>
    <w:rsid w:val="00CA5479"/>
    <w:rsid w:val="00CA763C"/>
    <w:rsid w:val="00CA76D1"/>
    <w:rsid w:val="00CA7AEF"/>
    <w:rsid w:val="00CB2C3D"/>
    <w:rsid w:val="00CB3C7E"/>
    <w:rsid w:val="00CB4225"/>
    <w:rsid w:val="00CB74EC"/>
    <w:rsid w:val="00CB7CF6"/>
    <w:rsid w:val="00CB7E82"/>
    <w:rsid w:val="00CC0297"/>
    <w:rsid w:val="00CC1FCE"/>
    <w:rsid w:val="00CC269C"/>
    <w:rsid w:val="00CC4C26"/>
    <w:rsid w:val="00CC578A"/>
    <w:rsid w:val="00CC62AA"/>
    <w:rsid w:val="00CC6411"/>
    <w:rsid w:val="00CC76CF"/>
    <w:rsid w:val="00CC779E"/>
    <w:rsid w:val="00CC7AEA"/>
    <w:rsid w:val="00CD01C9"/>
    <w:rsid w:val="00CD02F3"/>
    <w:rsid w:val="00CD1037"/>
    <w:rsid w:val="00CD1593"/>
    <w:rsid w:val="00CD2464"/>
    <w:rsid w:val="00CD3C1B"/>
    <w:rsid w:val="00CD4460"/>
    <w:rsid w:val="00CD4644"/>
    <w:rsid w:val="00CD4E0A"/>
    <w:rsid w:val="00CD5DEC"/>
    <w:rsid w:val="00CD7187"/>
    <w:rsid w:val="00CE00BF"/>
    <w:rsid w:val="00CE0D50"/>
    <w:rsid w:val="00CE1E36"/>
    <w:rsid w:val="00CF027B"/>
    <w:rsid w:val="00CF033E"/>
    <w:rsid w:val="00CF1C9F"/>
    <w:rsid w:val="00CF3B59"/>
    <w:rsid w:val="00CF434F"/>
    <w:rsid w:val="00CF43D6"/>
    <w:rsid w:val="00CF5991"/>
    <w:rsid w:val="00D00921"/>
    <w:rsid w:val="00D01A01"/>
    <w:rsid w:val="00D03894"/>
    <w:rsid w:val="00D038E8"/>
    <w:rsid w:val="00D0404F"/>
    <w:rsid w:val="00D04927"/>
    <w:rsid w:val="00D0620A"/>
    <w:rsid w:val="00D071C5"/>
    <w:rsid w:val="00D07201"/>
    <w:rsid w:val="00D07708"/>
    <w:rsid w:val="00D0770D"/>
    <w:rsid w:val="00D10041"/>
    <w:rsid w:val="00D10224"/>
    <w:rsid w:val="00D1026D"/>
    <w:rsid w:val="00D132FC"/>
    <w:rsid w:val="00D1470B"/>
    <w:rsid w:val="00D14F5A"/>
    <w:rsid w:val="00D15804"/>
    <w:rsid w:val="00D16608"/>
    <w:rsid w:val="00D16FFA"/>
    <w:rsid w:val="00D17170"/>
    <w:rsid w:val="00D2220C"/>
    <w:rsid w:val="00D2265C"/>
    <w:rsid w:val="00D2427B"/>
    <w:rsid w:val="00D245FB"/>
    <w:rsid w:val="00D24C47"/>
    <w:rsid w:val="00D26787"/>
    <w:rsid w:val="00D27F88"/>
    <w:rsid w:val="00D309EF"/>
    <w:rsid w:val="00D316AC"/>
    <w:rsid w:val="00D327E8"/>
    <w:rsid w:val="00D3420B"/>
    <w:rsid w:val="00D3422D"/>
    <w:rsid w:val="00D37438"/>
    <w:rsid w:val="00D40B77"/>
    <w:rsid w:val="00D40C51"/>
    <w:rsid w:val="00D4232A"/>
    <w:rsid w:val="00D42833"/>
    <w:rsid w:val="00D452F5"/>
    <w:rsid w:val="00D455A9"/>
    <w:rsid w:val="00D4675A"/>
    <w:rsid w:val="00D46F51"/>
    <w:rsid w:val="00D5060B"/>
    <w:rsid w:val="00D515B2"/>
    <w:rsid w:val="00D52F0F"/>
    <w:rsid w:val="00D5520A"/>
    <w:rsid w:val="00D55766"/>
    <w:rsid w:val="00D55873"/>
    <w:rsid w:val="00D56042"/>
    <w:rsid w:val="00D5718A"/>
    <w:rsid w:val="00D5782A"/>
    <w:rsid w:val="00D6013F"/>
    <w:rsid w:val="00D6115E"/>
    <w:rsid w:val="00D61471"/>
    <w:rsid w:val="00D633C8"/>
    <w:rsid w:val="00D64217"/>
    <w:rsid w:val="00D64BFE"/>
    <w:rsid w:val="00D65257"/>
    <w:rsid w:val="00D654C1"/>
    <w:rsid w:val="00D70601"/>
    <w:rsid w:val="00D71A44"/>
    <w:rsid w:val="00D72331"/>
    <w:rsid w:val="00D72B4B"/>
    <w:rsid w:val="00D72BFB"/>
    <w:rsid w:val="00D72D13"/>
    <w:rsid w:val="00D73F23"/>
    <w:rsid w:val="00D7414D"/>
    <w:rsid w:val="00D7445C"/>
    <w:rsid w:val="00D74E91"/>
    <w:rsid w:val="00D752B9"/>
    <w:rsid w:val="00D75C88"/>
    <w:rsid w:val="00D75E37"/>
    <w:rsid w:val="00D77520"/>
    <w:rsid w:val="00D81195"/>
    <w:rsid w:val="00D827DF"/>
    <w:rsid w:val="00D8298E"/>
    <w:rsid w:val="00D83CCF"/>
    <w:rsid w:val="00D90A26"/>
    <w:rsid w:val="00D90FD1"/>
    <w:rsid w:val="00D93792"/>
    <w:rsid w:val="00D9434E"/>
    <w:rsid w:val="00D9574B"/>
    <w:rsid w:val="00D9688C"/>
    <w:rsid w:val="00DA0194"/>
    <w:rsid w:val="00DA060E"/>
    <w:rsid w:val="00DA0683"/>
    <w:rsid w:val="00DA07E9"/>
    <w:rsid w:val="00DA0C3E"/>
    <w:rsid w:val="00DA141A"/>
    <w:rsid w:val="00DA2166"/>
    <w:rsid w:val="00DA29E0"/>
    <w:rsid w:val="00DA4219"/>
    <w:rsid w:val="00DA582F"/>
    <w:rsid w:val="00DB5BCF"/>
    <w:rsid w:val="00DB5F11"/>
    <w:rsid w:val="00DB645C"/>
    <w:rsid w:val="00DC05AB"/>
    <w:rsid w:val="00DC1269"/>
    <w:rsid w:val="00DC1DA9"/>
    <w:rsid w:val="00DC2966"/>
    <w:rsid w:val="00DC428C"/>
    <w:rsid w:val="00DC55E8"/>
    <w:rsid w:val="00DC5781"/>
    <w:rsid w:val="00DC5B7E"/>
    <w:rsid w:val="00DC5D4A"/>
    <w:rsid w:val="00DC69CE"/>
    <w:rsid w:val="00DC7265"/>
    <w:rsid w:val="00DC79A8"/>
    <w:rsid w:val="00DD03CC"/>
    <w:rsid w:val="00DD13B8"/>
    <w:rsid w:val="00DD1851"/>
    <w:rsid w:val="00DD27BD"/>
    <w:rsid w:val="00DD29CB"/>
    <w:rsid w:val="00DD30B2"/>
    <w:rsid w:val="00DD3534"/>
    <w:rsid w:val="00DD5F00"/>
    <w:rsid w:val="00DD6B8E"/>
    <w:rsid w:val="00DD6C31"/>
    <w:rsid w:val="00DD6F64"/>
    <w:rsid w:val="00DD6FB4"/>
    <w:rsid w:val="00DD7B39"/>
    <w:rsid w:val="00DE09F9"/>
    <w:rsid w:val="00DE1E8C"/>
    <w:rsid w:val="00DE3B91"/>
    <w:rsid w:val="00DE611B"/>
    <w:rsid w:val="00DE6603"/>
    <w:rsid w:val="00DE728D"/>
    <w:rsid w:val="00DE7E88"/>
    <w:rsid w:val="00DF1787"/>
    <w:rsid w:val="00DF2505"/>
    <w:rsid w:val="00DF4825"/>
    <w:rsid w:val="00DF5C44"/>
    <w:rsid w:val="00DF5D6B"/>
    <w:rsid w:val="00DF6C73"/>
    <w:rsid w:val="00DF741C"/>
    <w:rsid w:val="00DF7FF9"/>
    <w:rsid w:val="00E005E6"/>
    <w:rsid w:val="00E007B2"/>
    <w:rsid w:val="00E008F0"/>
    <w:rsid w:val="00E01613"/>
    <w:rsid w:val="00E01919"/>
    <w:rsid w:val="00E0286C"/>
    <w:rsid w:val="00E0373B"/>
    <w:rsid w:val="00E0417F"/>
    <w:rsid w:val="00E051A9"/>
    <w:rsid w:val="00E055F2"/>
    <w:rsid w:val="00E0560E"/>
    <w:rsid w:val="00E05650"/>
    <w:rsid w:val="00E07939"/>
    <w:rsid w:val="00E0799D"/>
    <w:rsid w:val="00E10E4F"/>
    <w:rsid w:val="00E11749"/>
    <w:rsid w:val="00E12539"/>
    <w:rsid w:val="00E143F2"/>
    <w:rsid w:val="00E14BDD"/>
    <w:rsid w:val="00E24572"/>
    <w:rsid w:val="00E25514"/>
    <w:rsid w:val="00E26744"/>
    <w:rsid w:val="00E26F42"/>
    <w:rsid w:val="00E27694"/>
    <w:rsid w:val="00E27A08"/>
    <w:rsid w:val="00E306C0"/>
    <w:rsid w:val="00E3330D"/>
    <w:rsid w:val="00E33E1B"/>
    <w:rsid w:val="00E33F61"/>
    <w:rsid w:val="00E34C72"/>
    <w:rsid w:val="00E35CFA"/>
    <w:rsid w:val="00E40D63"/>
    <w:rsid w:val="00E42676"/>
    <w:rsid w:val="00E42919"/>
    <w:rsid w:val="00E4406B"/>
    <w:rsid w:val="00E44AE8"/>
    <w:rsid w:val="00E452C4"/>
    <w:rsid w:val="00E463A7"/>
    <w:rsid w:val="00E46B17"/>
    <w:rsid w:val="00E47D3F"/>
    <w:rsid w:val="00E5056D"/>
    <w:rsid w:val="00E52B4E"/>
    <w:rsid w:val="00E540B4"/>
    <w:rsid w:val="00E541D1"/>
    <w:rsid w:val="00E5469B"/>
    <w:rsid w:val="00E54A74"/>
    <w:rsid w:val="00E54DD5"/>
    <w:rsid w:val="00E5583C"/>
    <w:rsid w:val="00E566E8"/>
    <w:rsid w:val="00E576BA"/>
    <w:rsid w:val="00E6073D"/>
    <w:rsid w:val="00E62281"/>
    <w:rsid w:val="00E629C8"/>
    <w:rsid w:val="00E64226"/>
    <w:rsid w:val="00E643AF"/>
    <w:rsid w:val="00E65772"/>
    <w:rsid w:val="00E65BC6"/>
    <w:rsid w:val="00E702EC"/>
    <w:rsid w:val="00E70E58"/>
    <w:rsid w:val="00E71091"/>
    <w:rsid w:val="00E718BD"/>
    <w:rsid w:val="00E73765"/>
    <w:rsid w:val="00E7668B"/>
    <w:rsid w:val="00E77A30"/>
    <w:rsid w:val="00E77CFC"/>
    <w:rsid w:val="00E810BB"/>
    <w:rsid w:val="00E8120A"/>
    <w:rsid w:val="00E81846"/>
    <w:rsid w:val="00E81C4B"/>
    <w:rsid w:val="00E83FCB"/>
    <w:rsid w:val="00E8565B"/>
    <w:rsid w:val="00E8639E"/>
    <w:rsid w:val="00E86450"/>
    <w:rsid w:val="00E8659F"/>
    <w:rsid w:val="00E87329"/>
    <w:rsid w:val="00E90BB4"/>
    <w:rsid w:val="00E90BCA"/>
    <w:rsid w:val="00E9390B"/>
    <w:rsid w:val="00E94298"/>
    <w:rsid w:val="00E94C43"/>
    <w:rsid w:val="00E95EB2"/>
    <w:rsid w:val="00E9790A"/>
    <w:rsid w:val="00EA0A2A"/>
    <w:rsid w:val="00EA0D0D"/>
    <w:rsid w:val="00EB01E7"/>
    <w:rsid w:val="00EB3355"/>
    <w:rsid w:val="00EB3C3F"/>
    <w:rsid w:val="00EB7DD4"/>
    <w:rsid w:val="00EC030C"/>
    <w:rsid w:val="00EC05B3"/>
    <w:rsid w:val="00EC1610"/>
    <w:rsid w:val="00EC1A06"/>
    <w:rsid w:val="00EC27D9"/>
    <w:rsid w:val="00EC3788"/>
    <w:rsid w:val="00EC3C3D"/>
    <w:rsid w:val="00EC499F"/>
    <w:rsid w:val="00EC4AB2"/>
    <w:rsid w:val="00EC60B3"/>
    <w:rsid w:val="00ED0A93"/>
    <w:rsid w:val="00ED1E84"/>
    <w:rsid w:val="00ED2712"/>
    <w:rsid w:val="00ED2B93"/>
    <w:rsid w:val="00ED38B1"/>
    <w:rsid w:val="00ED5622"/>
    <w:rsid w:val="00ED693A"/>
    <w:rsid w:val="00EE0799"/>
    <w:rsid w:val="00EE088F"/>
    <w:rsid w:val="00EE0B51"/>
    <w:rsid w:val="00EE1072"/>
    <w:rsid w:val="00EE2EF2"/>
    <w:rsid w:val="00EE77C8"/>
    <w:rsid w:val="00EF26E3"/>
    <w:rsid w:val="00EF36FE"/>
    <w:rsid w:val="00EF4B1A"/>
    <w:rsid w:val="00EF58EA"/>
    <w:rsid w:val="00EF6494"/>
    <w:rsid w:val="00EF69E7"/>
    <w:rsid w:val="00EF74DD"/>
    <w:rsid w:val="00EF78A8"/>
    <w:rsid w:val="00EF7982"/>
    <w:rsid w:val="00EF7C21"/>
    <w:rsid w:val="00F00948"/>
    <w:rsid w:val="00F031EB"/>
    <w:rsid w:val="00F03D92"/>
    <w:rsid w:val="00F05601"/>
    <w:rsid w:val="00F0562A"/>
    <w:rsid w:val="00F065DA"/>
    <w:rsid w:val="00F068CB"/>
    <w:rsid w:val="00F0757E"/>
    <w:rsid w:val="00F113A0"/>
    <w:rsid w:val="00F12D9E"/>
    <w:rsid w:val="00F136DB"/>
    <w:rsid w:val="00F13B8A"/>
    <w:rsid w:val="00F14ED5"/>
    <w:rsid w:val="00F15A5E"/>
    <w:rsid w:val="00F15B38"/>
    <w:rsid w:val="00F17707"/>
    <w:rsid w:val="00F22466"/>
    <w:rsid w:val="00F25537"/>
    <w:rsid w:val="00F302A5"/>
    <w:rsid w:val="00F32A51"/>
    <w:rsid w:val="00F33234"/>
    <w:rsid w:val="00F336F8"/>
    <w:rsid w:val="00F361DA"/>
    <w:rsid w:val="00F36596"/>
    <w:rsid w:val="00F41954"/>
    <w:rsid w:val="00F446E6"/>
    <w:rsid w:val="00F448C2"/>
    <w:rsid w:val="00F44A5B"/>
    <w:rsid w:val="00F45904"/>
    <w:rsid w:val="00F459EA"/>
    <w:rsid w:val="00F508E6"/>
    <w:rsid w:val="00F509BD"/>
    <w:rsid w:val="00F53C49"/>
    <w:rsid w:val="00F542DF"/>
    <w:rsid w:val="00F54CE6"/>
    <w:rsid w:val="00F5521E"/>
    <w:rsid w:val="00F55235"/>
    <w:rsid w:val="00F553F1"/>
    <w:rsid w:val="00F60E8C"/>
    <w:rsid w:val="00F61775"/>
    <w:rsid w:val="00F67859"/>
    <w:rsid w:val="00F67A7E"/>
    <w:rsid w:val="00F70277"/>
    <w:rsid w:val="00F70833"/>
    <w:rsid w:val="00F725BF"/>
    <w:rsid w:val="00F73B99"/>
    <w:rsid w:val="00F743EF"/>
    <w:rsid w:val="00F74B3A"/>
    <w:rsid w:val="00F75931"/>
    <w:rsid w:val="00F75938"/>
    <w:rsid w:val="00F76AA5"/>
    <w:rsid w:val="00F7773F"/>
    <w:rsid w:val="00F814CE"/>
    <w:rsid w:val="00F825A0"/>
    <w:rsid w:val="00F82637"/>
    <w:rsid w:val="00F82A25"/>
    <w:rsid w:val="00F859AC"/>
    <w:rsid w:val="00F85ED1"/>
    <w:rsid w:val="00F86C16"/>
    <w:rsid w:val="00F872C3"/>
    <w:rsid w:val="00F909EE"/>
    <w:rsid w:val="00F91A14"/>
    <w:rsid w:val="00F91B8A"/>
    <w:rsid w:val="00F92F11"/>
    <w:rsid w:val="00F93337"/>
    <w:rsid w:val="00F93800"/>
    <w:rsid w:val="00F93DCD"/>
    <w:rsid w:val="00F9556A"/>
    <w:rsid w:val="00F955A0"/>
    <w:rsid w:val="00F96264"/>
    <w:rsid w:val="00F9742C"/>
    <w:rsid w:val="00F97974"/>
    <w:rsid w:val="00FA0911"/>
    <w:rsid w:val="00FA2BFE"/>
    <w:rsid w:val="00FA3B7E"/>
    <w:rsid w:val="00FA432C"/>
    <w:rsid w:val="00FA46D3"/>
    <w:rsid w:val="00FA5637"/>
    <w:rsid w:val="00FA6508"/>
    <w:rsid w:val="00FA7A46"/>
    <w:rsid w:val="00FB1303"/>
    <w:rsid w:val="00FB18E8"/>
    <w:rsid w:val="00FB2DD4"/>
    <w:rsid w:val="00FC1D32"/>
    <w:rsid w:val="00FC3AB8"/>
    <w:rsid w:val="00FC43E8"/>
    <w:rsid w:val="00FC65A0"/>
    <w:rsid w:val="00FC6894"/>
    <w:rsid w:val="00FD051F"/>
    <w:rsid w:val="00FD1F4F"/>
    <w:rsid w:val="00FD2F26"/>
    <w:rsid w:val="00FD41A3"/>
    <w:rsid w:val="00FD4F19"/>
    <w:rsid w:val="00FD573B"/>
    <w:rsid w:val="00FD5ACA"/>
    <w:rsid w:val="00FD7AC4"/>
    <w:rsid w:val="00FD7F92"/>
    <w:rsid w:val="00FE0273"/>
    <w:rsid w:val="00FE1058"/>
    <w:rsid w:val="00FE166D"/>
    <w:rsid w:val="00FE3083"/>
    <w:rsid w:val="00FE3EF4"/>
    <w:rsid w:val="00FE4BBC"/>
    <w:rsid w:val="00FE535A"/>
    <w:rsid w:val="00FF00F8"/>
    <w:rsid w:val="00FF0AD5"/>
    <w:rsid w:val="00FF18FF"/>
    <w:rsid w:val="00FF2FA6"/>
    <w:rsid w:val="00FF4F5E"/>
    <w:rsid w:val="00FF51A9"/>
    <w:rsid w:val="00FF6258"/>
    <w:rsid w:val="00FF65E2"/>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5D135-0235-471E-9B36-8BF52DF3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68"/>
    <w:rPr>
      <w:sz w:val="24"/>
      <w:szCs w:val="24"/>
    </w:rPr>
  </w:style>
  <w:style w:type="paragraph" w:styleId="Heading1">
    <w:name w:val="heading 1"/>
    <w:basedOn w:val="Normal"/>
    <w:next w:val="Normal"/>
    <w:link w:val="Heading1Char"/>
    <w:qFormat/>
    <w:rsid w:val="00967C5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semiHidden/>
    <w:unhideWhenUsed/>
    <w:qFormat/>
    <w:rsid w:val="00DF1787"/>
    <w:pPr>
      <w:keepNext/>
      <w:spacing w:before="200" w:line="276" w:lineRule="auto"/>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4FAD"/>
    <w:pPr>
      <w:spacing w:before="100" w:beforeAutospacing="1" w:after="100" w:afterAutospacing="1"/>
    </w:pPr>
  </w:style>
  <w:style w:type="character" w:styleId="Hyperlink">
    <w:name w:val="Hyperlink"/>
    <w:basedOn w:val="DefaultParagraphFont"/>
    <w:uiPriority w:val="99"/>
    <w:rsid w:val="009C4FAD"/>
    <w:rPr>
      <w:color w:val="0000FF"/>
      <w:u w:val="single"/>
    </w:rPr>
  </w:style>
  <w:style w:type="character" w:styleId="Strong">
    <w:name w:val="Strong"/>
    <w:basedOn w:val="DefaultParagraphFont"/>
    <w:uiPriority w:val="22"/>
    <w:qFormat/>
    <w:rsid w:val="009E61F8"/>
    <w:rPr>
      <w:b/>
      <w:bCs/>
    </w:rPr>
  </w:style>
  <w:style w:type="character" w:customStyle="1" w:styleId="allpara1">
    <w:name w:val="allpara1"/>
    <w:basedOn w:val="DefaultParagraphFont"/>
    <w:rsid w:val="009E61F8"/>
    <w:rPr>
      <w:rFonts w:ascii="Arial Narrow" w:hAnsi="Arial Narrow" w:hint="default"/>
      <w:color w:val="555354"/>
      <w:sz w:val="23"/>
      <w:szCs w:val="23"/>
    </w:rPr>
  </w:style>
  <w:style w:type="character" w:styleId="Emphasis">
    <w:name w:val="Emphasis"/>
    <w:basedOn w:val="DefaultParagraphFont"/>
    <w:uiPriority w:val="20"/>
    <w:qFormat/>
    <w:rsid w:val="00670F1B"/>
    <w:rPr>
      <w:i/>
      <w:iCs/>
    </w:rPr>
  </w:style>
  <w:style w:type="paragraph" w:styleId="BalloonText">
    <w:name w:val="Balloon Text"/>
    <w:basedOn w:val="Normal"/>
    <w:semiHidden/>
    <w:rsid w:val="007F6D0C"/>
    <w:rPr>
      <w:rFonts w:ascii="Tahoma" w:hAnsi="Tahoma" w:cs="Tahoma"/>
      <w:sz w:val="16"/>
      <w:szCs w:val="16"/>
    </w:rPr>
  </w:style>
  <w:style w:type="paragraph" w:styleId="FootnoteText">
    <w:name w:val="footnote text"/>
    <w:basedOn w:val="Normal"/>
    <w:link w:val="FootnoteTextChar"/>
    <w:uiPriority w:val="99"/>
    <w:rsid w:val="007E3C6D"/>
    <w:rPr>
      <w:sz w:val="18"/>
      <w:szCs w:val="20"/>
    </w:rPr>
  </w:style>
  <w:style w:type="character" w:styleId="FootnoteReference">
    <w:name w:val="footnote reference"/>
    <w:basedOn w:val="DefaultParagraphFont"/>
    <w:uiPriority w:val="99"/>
    <w:rsid w:val="00A444C3"/>
    <w:rPr>
      <w:vertAlign w:val="superscript"/>
    </w:rPr>
  </w:style>
  <w:style w:type="paragraph" w:styleId="BlockText">
    <w:name w:val="Block Text"/>
    <w:basedOn w:val="Normal"/>
    <w:rsid w:val="008364F0"/>
    <w:pPr>
      <w:ind w:left="720" w:right="720"/>
    </w:pPr>
  </w:style>
  <w:style w:type="character" w:customStyle="1" w:styleId="FootnoteTextChar">
    <w:name w:val="Footnote Text Char"/>
    <w:basedOn w:val="DefaultParagraphFont"/>
    <w:link w:val="FootnoteText"/>
    <w:uiPriority w:val="99"/>
    <w:rsid w:val="007E3C6D"/>
    <w:rPr>
      <w:sz w:val="18"/>
    </w:rPr>
  </w:style>
  <w:style w:type="character" w:styleId="FollowedHyperlink">
    <w:name w:val="FollowedHyperlink"/>
    <w:basedOn w:val="DefaultParagraphFont"/>
    <w:rsid w:val="00923DB9"/>
    <w:rPr>
      <w:color w:val="800080"/>
      <w:u w:val="single"/>
    </w:rPr>
  </w:style>
  <w:style w:type="paragraph" w:styleId="Header">
    <w:name w:val="header"/>
    <w:basedOn w:val="Normal"/>
    <w:link w:val="HeaderChar"/>
    <w:rsid w:val="0040696A"/>
    <w:pPr>
      <w:tabs>
        <w:tab w:val="center" w:pos="4680"/>
        <w:tab w:val="right" w:pos="9360"/>
      </w:tabs>
    </w:pPr>
  </w:style>
  <w:style w:type="character" w:customStyle="1" w:styleId="HeaderChar">
    <w:name w:val="Header Char"/>
    <w:basedOn w:val="DefaultParagraphFont"/>
    <w:link w:val="Header"/>
    <w:rsid w:val="0040696A"/>
    <w:rPr>
      <w:sz w:val="24"/>
      <w:szCs w:val="24"/>
    </w:rPr>
  </w:style>
  <w:style w:type="paragraph" w:styleId="Footer">
    <w:name w:val="footer"/>
    <w:basedOn w:val="Normal"/>
    <w:link w:val="FooterChar"/>
    <w:rsid w:val="0040696A"/>
    <w:pPr>
      <w:tabs>
        <w:tab w:val="center" w:pos="4680"/>
        <w:tab w:val="right" w:pos="9360"/>
      </w:tabs>
    </w:pPr>
  </w:style>
  <w:style w:type="character" w:customStyle="1" w:styleId="FooterChar">
    <w:name w:val="Footer Char"/>
    <w:basedOn w:val="DefaultParagraphFont"/>
    <w:link w:val="Footer"/>
    <w:rsid w:val="0040696A"/>
    <w:rPr>
      <w:sz w:val="24"/>
      <w:szCs w:val="24"/>
    </w:rPr>
  </w:style>
  <w:style w:type="paragraph" w:styleId="EndnoteText">
    <w:name w:val="endnote text"/>
    <w:basedOn w:val="Normal"/>
    <w:link w:val="EndnoteTextChar"/>
    <w:rsid w:val="00B66551"/>
    <w:rPr>
      <w:sz w:val="20"/>
      <w:szCs w:val="20"/>
    </w:rPr>
  </w:style>
  <w:style w:type="character" w:customStyle="1" w:styleId="EndnoteTextChar">
    <w:name w:val="Endnote Text Char"/>
    <w:basedOn w:val="DefaultParagraphFont"/>
    <w:link w:val="EndnoteText"/>
    <w:rsid w:val="00B66551"/>
  </w:style>
  <w:style w:type="character" w:styleId="EndnoteReference">
    <w:name w:val="endnote reference"/>
    <w:basedOn w:val="DefaultParagraphFont"/>
    <w:rsid w:val="00B66551"/>
    <w:rPr>
      <w:vertAlign w:val="superscript"/>
    </w:rPr>
  </w:style>
  <w:style w:type="paragraph" w:customStyle="1" w:styleId="copy">
    <w:name w:val="copy"/>
    <w:basedOn w:val="Normal"/>
    <w:rsid w:val="00525C07"/>
    <w:pPr>
      <w:spacing w:line="210" w:lineRule="atLeast"/>
      <w:ind w:firstLine="360"/>
      <w:jc w:val="both"/>
    </w:pPr>
    <w:rPr>
      <w:rFonts w:ascii="Times NR MT" w:hAnsi="Times NR MT"/>
      <w:sz w:val="21"/>
      <w:szCs w:val="21"/>
    </w:rPr>
  </w:style>
  <w:style w:type="character" w:styleId="CommentReference">
    <w:name w:val="annotation reference"/>
    <w:basedOn w:val="DefaultParagraphFont"/>
    <w:rsid w:val="008147BF"/>
    <w:rPr>
      <w:sz w:val="16"/>
      <w:szCs w:val="16"/>
    </w:rPr>
  </w:style>
  <w:style w:type="paragraph" w:styleId="CommentText">
    <w:name w:val="annotation text"/>
    <w:basedOn w:val="Normal"/>
    <w:link w:val="CommentTextChar"/>
    <w:rsid w:val="008147BF"/>
    <w:rPr>
      <w:sz w:val="20"/>
      <w:szCs w:val="20"/>
    </w:rPr>
  </w:style>
  <w:style w:type="character" w:customStyle="1" w:styleId="CommentTextChar">
    <w:name w:val="Comment Text Char"/>
    <w:basedOn w:val="DefaultParagraphFont"/>
    <w:link w:val="CommentText"/>
    <w:rsid w:val="008147BF"/>
  </w:style>
  <w:style w:type="paragraph" w:styleId="CommentSubject">
    <w:name w:val="annotation subject"/>
    <w:basedOn w:val="CommentText"/>
    <w:next w:val="CommentText"/>
    <w:link w:val="CommentSubjectChar"/>
    <w:rsid w:val="008147BF"/>
    <w:rPr>
      <w:b/>
      <w:bCs/>
    </w:rPr>
  </w:style>
  <w:style w:type="character" w:customStyle="1" w:styleId="CommentSubjectChar">
    <w:name w:val="Comment Subject Char"/>
    <w:basedOn w:val="CommentTextChar"/>
    <w:link w:val="CommentSubject"/>
    <w:rsid w:val="008147BF"/>
    <w:rPr>
      <w:b/>
      <w:bCs/>
    </w:rPr>
  </w:style>
  <w:style w:type="paragraph" w:styleId="HTMLPreformatted">
    <w:name w:val="HTML Preformatted"/>
    <w:basedOn w:val="Normal"/>
    <w:link w:val="HTMLPreformattedChar"/>
    <w:uiPriority w:val="99"/>
    <w:unhideWhenUsed/>
    <w:rsid w:val="00AF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F4D57"/>
    <w:rPr>
      <w:rFonts w:ascii="Courier New" w:eastAsia="Calibri" w:hAnsi="Courier New" w:cs="Courier New"/>
    </w:rPr>
  </w:style>
  <w:style w:type="character" w:customStyle="1" w:styleId="Heading2Char">
    <w:name w:val="Heading 2 Char"/>
    <w:basedOn w:val="DefaultParagraphFont"/>
    <w:link w:val="Heading2"/>
    <w:uiPriority w:val="9"/>
    <w:semiHidden/>
    <w:rsid w:val="00DF1787"/>
    <w:rPr>
      <w:rFonts w:ascii="Cambria" w:eastAsia="Calibri" w:hAnsi="Cambria"/>
      <w:b/>
      <w:bCs/>
      <w:color w:val="4F81BD"/>
      <w:sz w:val="26"/>
      <w:szCs w:val="26"/>
    </w:rPr>
  </w:style>
  <w:style w:type="character" w:customStyle="1" w:styleId="Heading1Char">
    <w:name w:val="Heading 1 Char"/>
    <w:basedOn w:val="DefaultParagraphFont"/>
    <w:link w:val="Heading1"/>
    <w:rsid w:val="00967C55"/>
    <w:rPr>
      <w:rFonts w:ascii="Cambria" w:eastAsia="Times New Roman" w:hAnsi="Cambria" w:cs="Times New Roman"/>
      <w:b/>
      <w:bCs/>
      <w:kern w:val="32"/>
      <w:sz w:val="32"/>
      <w:szCs w:val="32"/>
    </w:rPr>
  </w:style>
  <w:style w:type="paragraph" w:styleId="ListParagraph">
    <w:name w:val="List Paragraph"/>
    <w:basedOn w:val="Normal"/>
    <w:uiPriority w:val="34"/>
    <w:qFormat/>
    <w:rsid w:val="00967C55"/>
    <w:pPr>
      <w:spacing w:after="200" w:line="276" w:lineRule="auto"/>
      <w:ind w:left="720"/>
    </w:pPr>
    <w:rPr>
      <w:rFonts w:ascii="Calibri" w:eastAsia="Calibri" w:hAnsi="Calibri" w:cs="Calibri"/>
      <w:sz w:val="22"/>
      <w:szCs w:val="22"/>
    </w:rPr>
  </w:style>
  <w:style w:type="paragraph" w:customStyle="1" w:styleId="Default">
    <w:name w:val="Default"/>
    <w:basedOn w:val="Normal"/>
    <w:rsid w:val="00D633C8"/>
    <w:pPr>
      <w:autoSpaceDE w:val="0"/>
      <w:autoSpaceDN w:val="0"/>
    </w:pPr>
    <w:rPr>
      <w:rFonts w:eastAsia="Calibri"/>
      <w:color w:val="000000"/>
    </w:rPr>
  </w:style>
  <w:style w:type="paragraph" w:customStyle="1" w:styleId="ms-rteelement-p1">
    <w:name w:val="ms-rteelement-p1"/>
    <w:basedOn w:val="Normal"/>
    <w:rsid w:val="00B57E48"/>
    <w:pPr>
      <w:spacing w:before="72" w:after="100" w:afterAutospacing="1"/>
    </w:pPr>
    <w:rPr>
      <w:rFonts w:eastAsia="Calibri"/>
      <w:color w:val="000000"/>
      <w:sz w:val="16"/>
      <w:szCs w:val="16"/>
    </w:rPr>
  </w:style>
  <w:style w:type="character" w:customStyle="1" w:styleId="st1">
    <w:name w:val="st1"/>
    <w:basedOn w:val="DefaultParagraphFont"/>
    <w:rsid w:val="00D16FFA"/>
  </w:style>
  <w:style w:type="paragraph" w:styleId="PlainText">
    <w:name w:val="Plain Text"/>
    <w:basedOn w:val="Normal"/>
    <w:link w:val="PlainTextChar"/>
    <w:uiPriority w:val="99"/>
    <w:unhideWhenUsed/>
    <w:rsid w:val="00FF4F5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F4F5E"/>
    <w:rPr>
      <w:rFonts w:ascii="Consolas" w:eastAsiaTheme="minorHAnsi" w:hAnsi="Consolas" w:cs="Consolas"/>
      <w:sz w:val="21"/>
      <w:szCs w:val="21"/>
    </w:rPr>
  </w:style>
  <w:style w:type="character" w:customStyle="1" w:styleId="tgc">
    <w:name w:val="_tgc"/>
    <w:rsid w:val="00DC7265"/>
  </w:style>
  <w:style w:type="character" w:customStyle="1" w:styleId="ssleftalign">
    <w:name w:val="ss_leftalign"/>
    <w:basedOn w:val="DefaultParagraphFont"/>
    <w:rsid w:val="00DC7265"/>
  </w:style>
  <w:style w:type="character" w:customStyle="1" w:styleId="ssrfcpassagedeactivated">
    <w:name w:val="ss_rfcpassage_deactivated"/>
    <w:basedOn w:val="DefaultParagraphFont"/>
    <w:rsid w:val="00DC7265"/>
  </w:style>
  <w:style w:type="character" w:customStyle="1" w:styleId="apple-converted-space">
    <w:name w:val="apple-converted-space"/>
    <w:basedOn w:val="DefaultParagraphFont"/>
    <w:rsid w:val="00FA3B7E"/>
  </w:style>
  <w:style w:type="character" w:customStyle="1" w:styleId="numerator">
    <w:name w:val="numerator"/>
    <w:basedOn w:val="DefaultParagraphFont"/>
    <w:rsid w:val="00FA3B7E"/>
  </w:style>
  <w:style w:type="character" w:customStyle="1" w:styleId="denominator">
    <w:name w:val="denominator"/>
    <w:basedOn w:val="DefaultParagraphFont"/>
    <w:rsid w:val="00FA3B7E"/>
  </w:style>
  <w:style w:type="paragraph" w:styleId="NoSpacing">
    <w:name w:val="No Spacing"/>
    <w:uiPriority w:val="1"/>
    <w:qFormat/>
    <w:rsid w:val="00BE2A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680">
      <w:bodyDiv w:val="1"/>
      <w:marLeft w:val="0"/>
      <w:marRight w:val="0"/>
      <w:marTop w:val="0"/>
      <w:marBottom w:val="0"/>
      <w:divBdr>
        <w:top w:val="none" w:sz="0" w:space="0" w:color="auto"/>
        <w:left w:val="none" w:sz="0" w:space="0" w:color="auto"/>
        <w:bottom w:val="none" w:sz="0" w:space="0" w:color="auto"/>
        <w:right w:val="none" w:sz="0" w:space="0" w:color="auto"/>
      </w:divBdr>
    </w:div>
    <w:div w:id="201285146">
      <w:bodyDiv w:val="1"/>
      <w:marLeft w:val="0"/>
      <w:marRight w:val="0"/>
      <w:marTop w:val="0"/>
      <w:marBottom w:val="0"/>
      <w:divBdr>
        <w:top w:val="none" w:sz="0" w:space="0" w:color="auto"/>
        <w:left w:val="none" w:sz="0" w:space="0" w:color="auto"/>
        <w:bottom w:val="none" w:sz="0" w:space="0" w:color="auto"/>
        <w:right w:val="none" w:sz="0" w:space="0" w:color="auto"/>
      </w:divBdr>
    </w:div>
    <w:div w:id="212232468">
      <w:bodyDiv w:val="1"/>
      <w:marLeft w:val="0"/>
      <w:marRight w:val="0"/>
      <w:marTop w:val="0"/>
      <w:marBottom w:val="0"/>
      <w:divBdr>
        <w:top w:val="none" w:sz="0" w:space="0" w:color="auto"/>
        <w:left w:val="none" w:sz="0" w:space="0" w:color="auto"/>
        <w:bottom w:val="none" w:sz="0" w:space="0" w:color="auto"/>
        <w:right w:val="none" w:sz="0" w:space="0" w:color="auto"/>
      </w:divBdr>
    </w:div>
    <w:div w:id="418405773">
      <w:bodyDiv w:val="1"/>
      <w:marLeft w:val="0"/>
      <w:marRight w:val="0"/>
      <w:marTop w:val="0"/>
      <w:marBottom w:val="0"/>
      <w:divBdr>
        <w:top w:val="none" w:sz="0" w:space="0" w:color="auto"/>
        <w:left w:val="none" w:sz="0" w:space="0" w:color="auto"/>
        <w:bottom w:val="none" w:sz="0" w:space="0" w:color="auto"/>
        <w:right w:val="none" w:sz="0" w:space="0" w:color="auto"/>
      </w:divBdr>
    </w:div>
    <w:div w:id="540440800">
      <w:bodyDiv w:val="1"/>
      <w:marLeft w:val="0"/>
      <w:marRight w:val="0"/>
      <w:marTop w:val="0"/>
      <w:marBottom w:val="0"/>
      <w:divBdr>
        <w:top w:val="none" w:sz="0" w:space="0" w:color="auto"/>
        <w:left w:val="none" w:sz="0" w:space="0" w:color="auto"/>
        <w:bottom w:val="none" w:sz="0" w:space="0" w:color="auto"/>
        <w:right w:val="none" w:sz="0" w:space="0" w:color="auto"/>
      </w:divBdr>
    </w:div>
    <w:div w:id="731777998">
      <w:bodyDiv w:val="1"/>
      <w:marLeft w:val="0"/>
      <w:marRight w:val="0"/>
      <w:marTop w:val="0"/>
      <w:marBottom w:val="0"/>
      <w:divBdr>
        <w:top w:val="none" w:sz="0" w:space="0" w:color="auto"/>
        <w:left w:val="none" w:sz="0" w:space="0" w:color="auto"/>
        <w:bottom w:val="none" w:sz="0" w:space="0" w:color="auto"/>
        <w:right w:val="none" w:sz="0" w:space="0" w:color="auto"/>
      </w:divBdr>
    </w:div>
    <w:div w:id="882712961">
      <w:bodyDiv w:val="1"/>
      <w:marLeft w:val="0"/>
      <w:marRight w:val="0"/>
      <w:marTop w:val="0"/>
      <w:marBottom w:val="0"/>
      <w:divBdr>
        <w:top w:val="none" w:sz="0" w:space="0" w:color="auto"/>
        <w:left w:val="none" w:sz="0" w:space="0" w:color="auto"/>
        <w:bottom w:val="none" w:sz="0" w:space="0" w:color="auto"/>
        <w:right w:val="none" w:sz="0" w:space="0" w:color="auto"/>
      </w:divBdr>
    </w:div>
    <w:div w:id="1140803207">
      <w:bodyDiv w:val="1"/>
      <w:marLeft w:val="0"/>
      <w:marRight w:val="0"/>
      <w:marTop w:val="0"/>
      <w:marBottom w:val="0"/>
      <w:divBdr>
        <w:top w:val="none" w:sz="0" w:space="0" w:color="auto"/>
        <w:left w:val="none" w:sz="0" w:space="0" w:color="auto"/>
        <w:bottom w:val="none" w:sz="0" w:space="0" w:color="auto"/>
        <w:right w:val="none" w:sz="0" w:space="0" w:color="auto"/>
      </w:divBdr>
    </w:div>
    <w:div w:id="1289358740">
      <w:bodyDiv w:val="1"/>
      <w:marLeft w:val="0"/>
      <w:marRight w:val="0"/>
      <w:marTop w:val="0"/>
      <w:marBottom w:val="0"/>
      <w:divBdr>
        <w:top w:val="none" w:sz="0" w:space="0" w:color="auto"/>
        <w:left w:val="none" w:sz="0" w:space="0" w:color="auto"/>
        <w:bottom w:val="none" w:sz="0" w:space="0" w:color="auto"/>
        <w:right w:val="none" w:sz="0" w:space="0" w:color="auto"/>
      </w:divBdr>
    </w:div>
    <w:div w:id="1329015567">
      <w:bodyDiv w:val="1"/>
      <w:marLeft w:val="0"/>
      <w:marRight w:val="0"/>
      <w:marTop w:val="0"/>
      <w:marBottom w:val="0"/>
      <w:divBdr>
        <w:top w:val="none" w:sz="0" w:space="0" w:color="auto"/>
        <w:left w:val="none" w:sz="0" w:space="0" w:color="auto"/>
        <w:bottom w:val="none" w:sz="0" w:space="0" w:color="auto"/>
        <w:right w:val="none" w:sz="0" w:space="0" w:color="auto"/>
      </w:divBdr>
    </w:div>
    <w:div w:id="1405687191">
      <w:bodyDiv w:val="1"/>
      <w:marLeft w:val="0"/>
      <w:marRight w:val="0"/>
      <w:marTop w:val="0"/>
      <w:marBottom w:val="0"/>
      <w:divBdr>
        <w:top w:val="none" w:sz="0" w:space="0" w:color="auto"/>
        <w:left w:val="none" w:sz="0" w:space="0" w:color="auto"/>
        <w:bottom w:val="none" w:sz="0" w:space="0" w:color="auto"/>
        <w:right w:val="none" w:sz="0" w:space="0" w:color="auto"/>
      </w:divBdr>
    </w:div>
    <w:div w:id="1459452959">
      <w:bodyDiv w:val="1"/>
      <w:marLeft w:val="0"/>
      <w:marRight w:val="0"/>
      <w:marTop w:val="0"/>
      <w:marBottom w:val="0"/>
      <w:divBdr>
        <w:top w:val="none" w:sz="0" w:space="0" w:color="auto"/>
        <w:left w:val="none" w:sz="0" w:space="0" w:color="auto"/>
        <w:bottom w:val="none" w:sz="0" w:space="0" w:color="auto"/>
        <w:right w:val="none" w:sz="0" w:space="0" w:color="auto"/>
      </w:divBdr>
    </w:div>
    <w:div w:id="1517229618">
      <w:bodyDiv w:val="1"/>
      <w:marLeft w:val="0"/>
      <w:marRight w:val="0"/>
      <w:marTop w:val="0"/>
      <w:marBottom w:val="0"/>
      <w:divBdr>
        <w:top w:val="none" w:sz="0" w:space="0" w:color="auto"/>
        <w:left w:val="none" w:sz="0" w:space="0" w:color="auto"/>
        <w:bottom w:val="none" w:sz="0" w:space="0" w:color="auto"/>
        <w:right w:val="none" w:sz="0" w:space="0" w:color="auto"/>
      </w:divBdr>
    </w:div>
    <w:div w:id="1760984604">
      <w:bodyDiv w:val="1"/>
      <w:marLeft w:val="0"/>
      <w:marRight w:val="0"/>
      <w:marTop w:val="0"/>
      <w:marBottom w:val="0"/>
      <w:divBdr>
        <w:top w:val="none" w:sz="0" w:space="0" w:color="auto"/>
        <w:left w:val="none" w:sz="0" w:space="0" w:color="auto"/>
        <w:bottom w:val="none" w:sz="0" w:space="0" w:color="auto"/>
        <w:right w:val="none" w:sz="0" w:space="0" w:color="auto"/>
      </w:divBdr>
    </w:div>
    <w:div w:id="1830554485">
      <w:bodyDiv w:val="1"/>
      <w:marLeft w:val="0"/>
      <w:marRight w:val="0"/>
      <w:marTop w:val="0"/>
      <w:marBottom w:val="0"/>
      <w:divBdr>
        <w:top w:val="none" w:sz="0" w:space="0" w:color="auto"/>
        <w:left w:val="none" w:sz="0" w:space="0" w:color="auto"/>
        <w:bottom w:val="none" w:sz="0" w:space="0" w:color="auto"/>
        <w:right w:val="none" w:sz="0" w:space="0" w:color="auto"/>
      </w:divBdr>
    </w:div>
    <w:div w:id="1889485539">
      <w:bodyDiv w:val="1"/>
      <w:marLeft w:val="0"/>
      <w:marRight w:val="0"/>
      <w:marTop w:val="0"/>
      <w:marBottom w:val="0"/>
      <w:divBdr>
        <w:top w:val="none" w:sz="0" w:space="0" w:color="auto"/>
        <w:left w:val="none" w:sz="0" w:space="0" w:color="auto"/>
        <w:bottom w:val="none" w:sz="0" w:space="0" w:color="auto"/>
        <w:right w:val="none" w:sz="0" w:space="0" w:color="auto"/>
      </w:divBdr>
    </w:div>
    <w:div w:id="1913462307">
      <w:bodyDiv w:val="1"/>
      <w:marLeft w:val="0"/>
      <w:marRight w:val="0"/>
      <w:marTop w:val="0"/>
      <w:marBottom w:val="0"/>
      <w:divBdr>
        <w:top w:val="none" w:sz="0" w:space="0" w:color="auto"/>
        <w:left w:val="none" w:sz="0" w:space="0" w:color="auto"/>
        <w:bottom w:val="none" w:sz="0" w:space="0" w:color="auto"/>
        <w:right w:val="none" w:sz="0" w:space="0" w:color="auto"/>
      </w:divBdr>
    </w:div>
    <w:div w:id="1939630058">
      <w:bodyDiv w:val="1"/>
      <w:marLeft w:val="0"/>
      <w:marRight w:val="0"/>
      <w:marTop w:val="0"/>
      <w:marBottom w:val="0"/>
      <w:divBdr>
        <w:top w:val="none" w:sz="0" w:space="0" w:color="auto"/>
        <w:left w:val="none" w:sz="0" w:space="0" w:color="auto"/>
        <w:bottom w:val="none" w:sz="0" w:space="0" w:color="auto"/>
        <w:right w:val="none" w:sz="0" w:space="0" w:color="auto"/>
      </w:divBdr>
    </w:div>
    <w:div w:id="21066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ttitkohn.com/attorneys/thomas-s-ingrassia-esq/"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pettitkohn.com/attorneys/douglas-a-pettit-esq/"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rc.ca.gov/K40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stlawyers.com/" TargetMode="External"/><Relationship Id="rId23" Type="http://schemas.openxmlformats.org/officeDocument/2006/relationships/fontTable" Target="fontTable.xml"/><Relationship Id="rId10" Type="http://schemas.openxmlformats.org/officeDocument/2006/relationships/hyperlink" Target="http://www.pettitkohn.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stlawfirms.usnews.com/"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83DB-083B-4B3D-9866-5436F9A9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5</Pages>
  <Words>1839</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Arrowhead General Insurance</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Nicole M. Peterson</cp:lastModifiedBy>
  <cp:revision>50</cp:revision>
  <cp:lastPrinted>2017-02-06T22:57:00Z</cp:lastPrinted>
  <dcterms:created xsi:type="dcterms:W3CDTF">2017-01-23T21:21:00Z</dcterms:created>
  <dcterms:modified xsi:type="dcterms:W3CDTF">2017-02-23T22:22:00Z</dcterms:modified>
</cp:coreProperties>
</file>